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137</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E0E5B5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bookmarkStart w:id="0" w:name="_GoBack"/>
      <w:r>
        <w:rPr>
          <w:rFonts w:hint="eastAsia" w:ascii="方正小标宋简体" w:eastAsia="方正小标宋简体"/>
          <w:sz w:val="44"/>
          <w:szCs w:val="44"/>
        </w:rPr>
        <w:t>关于楼蓝科技（江苏）有限公司年扩建</w:t>
      </w:r>
    </w:p>
    <w:p w14:paraId="508899C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14台份“两机”及地面燃机专项领域</w:t>
      </w:r>
    </w:p>
    <w:p w14:paraId="579945C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燃烧室单元体研制项目环境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bookmarkEnd w:id="0"/>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楼蓝科技（江苏）有限公司：</w:t>
      </w:r>
    </w:p>
    <w:p w14:paraId="1F32E7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楼蓝科技（江苏）有限公司年扩建14台份“两机”及地面燃机专项领域燃烧室单元体研制项目环境影响报告表》（以下称“报告表”）等相关材料均悉。经研究，审批意见如下：</w:t>
      </w:r>
    </w:p>
    <w:p w14:paraId="50DA5A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88C1D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无锡市国家高新技术产业开发区里河路以北、格尔顿公司以西地块，总投资30000万元，建设年扩建14台份“两机”及地面燃机专项领域燃烧室单元体研制项目，全厂形成年产“两机”及地面燃机专项领域燃烧室单元体20台的生产能力和年研发燃烧室单元体相关组件3套的研发能力。项目投产后的产品和研发内容、规模、生产和研发工艺、设备的类型和数量必须符合报告表内容。</w:t>
      </w:r>
    </w:p>
    <w:p w14:paraId="70A062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3CFA76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8DA5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食堂废水经隔油池预处理，与冷却废水一并达到《污水综合排放标准》（GB8978-1996）表4中的三级标准和《污水排入城镇下水道水质标准》（GB/T31962-2015）表1中标准后，接入硕放水处理厂集中处理。本项目只允许设置一个污水排放口。</w:t>
      </w:r>
    </w:p>
    <w:p w14:paraId="50C2C5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515CA4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（1）荧光无损检测、擦拭废气经有效收集，采用二级活性炭吸附装置处理后，尾气通过22米高排气筒FQ-01排放；</w:t>
      </w:r>
    </w:p>
    <w:p w14:paraId="1726FB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（2）食堂油烟经有效收集，油烟净化器净化处理后通过高于屋顶的排气筒排放。</w:t>
      </w:r>
    </w:p>
    <w:p w14:paraId="6218B4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荧光无损检测、擦拭工序产生的非甲烷总烃排放执行江苏省地方标准《大气污染物综合排放标准》（DB32/4041-2021）表1中大气污染物有组织排放限值、表2中厂区内VOCs无组织排放限值和表3中单位边界大气污染物排放监控浓度限值；油烟排放执行《饮食业油烟排放标准（试行）》（GB18483-2001）表2中标准。</w:t>
      </w:r>
    </w:p>
    <w:p w14:paraId="627719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本项目共设排气筒2根。</w:t>
      </w:r>
    </w:p>
    <w:p w14:paraId="1D7EDF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46A221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0DFA83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76433F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0FBA3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2E9515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4008B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1.大气污染物（有组织）：非甲烷总烃≤0.0171吨、油烟≤0.0162吨。</w:t>
      </w:r>
    </w:p>
    <w:p w14:paraId="280514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2.水污染物（接管考核量）：废水排放量≤7440吨；COD≤2.6348吨、SS≤1.797吨、氨氮（生活）≤0.2592吨、总磷（生活）≤0.0325吨、总氮（生活）≤0.3888吨、动植物油≤0.1458吨。</w:t>
      </w:r>
    </w:p>
    <w:p w14:paraId="2B4CA0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52043F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E5360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42DC57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（项目代码：2405-320214-89-01-215316）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0057430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C5FB3A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CC11B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4DDB7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995F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15E6E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86C3A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E30F1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9F5CA4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146FC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886BD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56190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8A5EBC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7EFB1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F7AEA9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485747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DE00F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D16827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D9AA2C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BE58BD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51D77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4A654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72C86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4F3C26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0FF5D2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0E40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4B65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1A0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720F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40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F7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C7BD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0EF2A08"/>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4F63E4"/>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4265B0"/>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B76B86"/>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A54853"/>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AC349C"/>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543B1"/>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1336</Words>
  <Characters>1473</Characters>
  <Lines>18</Lines>
  <Paragraphs>5</Paragraphs>
  <TotalTime>11</TotalTime>
  <ScaleCrop>false</ScaleCrop>
  <LinksUpToDate>false</LinksUpToDate>
  <CharactersWithSpaces>1553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2026-07-28T02:30:00Z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