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7AFAFD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关于无锡环宇包装材料有限公司环宇包装</w:t>
      </w:r>
    </w:p>
    <w:p w14:paraId="2DFD32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功能薄膜研发中心及涂层车间</w:t>
      </w:r>
    </w:p>
    <w:p w14:paraId="6A6C6A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投资</w:t>
      </w:r>
      <w:bookmarkStart w:id="0" w:name="_GoBack"/>
      <w:bookmarkEnd w:id="0"/>
      <w:r>
        <w:rPr>
          <w:rFonts w:hint="eastAsia" w:ascii="方正小标宋简体" w:eastAsia="方正小标宋简体"/>
          <w:sz w:val="44"/>
          <w:szCs w:val="44"/>
        </w:rPr>
        <w:t>建设项目环境影响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无锡环宇包装材料有限公司：</w:t>
      </w:r>
    </w:p>
    <w:p w14:paraId="13A7635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环宇包装材料有限公司环宇包装功能薄膜研发中心及涂层车间投资建设项目环境影响报告表》（以下称“报告表”）等相关材料均悉。经研究，审批意见如下：</w:t>
      </w:r>
    </w:p>
    <w:p w14:paraId="3F0D312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1AA348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江苏省无锡市新吴区高新区黄山路9号，总投资17225.15万元，建设环宇包装功能薄膜研发中心及涂层车间投资建设项目（新增年研发薄膜50批次的研发能力），建成后全厂形成年产薄膜2.5万吨、聚丙烯塑料制品3500吨的生产能力和年研发薄膜50批次的研发能力。项目投产后的产品、规模、研发工艺、设备的类型和数量必须符合报告表内容。</w:t>
      </w:r>
    </w:p>
    <w:p w14:paraId="70961DF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4D23CC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2510458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食堂废水经隔油池预处理，达到《污水综合排放标准》（GB8978-1996）表4中的三级标准和《污水排入城镇下水道水质标准》（GB/T31962-2015）表1中标准后，接入新城水处理厂集中处理。该项目利用原有的一个污水排放口，不得增设排污口。</w:t>
      </w:r>
    </w:p>
    <w:p w14:paraId="187E08A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熔融挤出、吹塑、模头流延废气经有效收集，采用二级活性炭处理后，尾气通过26米高FQ-14排放；食堂油烟经有效收集，采用油雾净化器处理后，尾气通过高于屋顶FQ-10排放。本项目共设排气筒2根，其中FQ-14为新增排气筒。</w:t>
      </w:r>
    </w:p>
    <w:p w14:paraId="34D55B4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建立活性炭吸附装置的自动化管理体系，定期更换活性炭，建立使用及更换活性炭的台账。</w:t>
      </w:r>
    </w:p>
    <w:p w14:paraId="62EC9F6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熔融挤出、吹塑、模头流延工序产生的非甲烷总烃排放执行《合成树脂工业污染物排放标准》（GB31572-2015，含2024年修改单）表5和表9标准，厂区内非甲烷总烃无组织排放限值执行《挥发性有机物无组织排放控制标准》（GB 37822—2019）中附录A标准。食堂油烟排放执行《饮食业油烟排放标准（试行）》（GB18483-2001）表2标准。</w:t>
      </w:r>
    </w:p>
    <w:p w14:paraId="1A59CAF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03E5CA1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720942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9C538D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7BC5318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8.根据报告表推荐，全厂1号车间外周边100米、2号车间挤出车间外周边50米和研发车间外周边50米范围，不得新建居民住宅区、学校、医院等环境保护敏感点。</w:t>
      </w:r>
    </w:p>
    <w:p w14:paraId="55C1FBD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0F8DCC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28154D3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（本项目）非甲烷总烃≤0.003吨、油烟≤0.0004吨；（全厂区）非甲烷总烃≤1.0822吨、颗粒物≤2.03吨、二氧化硫≤0.096吨、氮氧化物≤1.77吨、油烟≤0.0102吨。</w:t>
      </w:r>
    </w:p>
    <w:p w14:paraId="6651E0F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0BB3BB2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废水排放量≤127.5吨，COD≤0.0478吨、SS≤0.0306吨、氨氮（生活）≤0.0051吨、总磷（生活）≤0.0006吨、总氮（生活）≤0.0077吨、动植物油≤0.0034吨；（全厂区）废水排放量≤2287.5吨，COD≤0.8578吨、SS≤0.5492吨、氨氮（生活）≤0.0805吨、总磷（生活）≤0.003吨、总氮（生活）≤0.0943吨、动植物油≤0.085吨。</w:t>
      </w:r>
    </w:p>
    <w:p w14:paraId="33948D4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1641E46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659E14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4C36B23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（项目代码：2511-320214-89-01-841263）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19</w:t>
      </w:r>
      <w:r>
        <w:rPr>
          <w:rFonts w:hint="default" w:ascii="Times New Roman" w:hAnsi="Times New Roman" w:eastAsia="仿宋" w:cs="Times New Roman"/>
          <w:sz w:val="32"/>
          <w:szCs w:val="32"/>
        </w:rPr>
        <w:t>日</w:t>
      </w:r>
    </w:p>
    <w:p w14:paraId="6227473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0C53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059BAD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AE5A18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8B8AF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F7155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06C96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EB3CB1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12899E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BF4F5D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0C065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D52D9F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00EF6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0A206E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42AA2D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0BE71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360FA8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E4A30C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08839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B4E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721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826C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66D2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9B7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B231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56A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EB3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9F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A0D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8E50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034A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596D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CD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684D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202C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5C2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DEE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D61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19</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2811</Words>
  <Characters>3478</Characters>
  <Lines>18</Lines>
  <Paragraphs>5</Paragraphs>
  <TotalTime>7</TotalTime>
  <ScaleCrop>false</ScaleCrop>
  <LinksUpToDate>false</LinksUpToDate>
  <CharactersWithSpaces>3562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2026-05-19T02:28:36Z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