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082</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46CC224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关于乾盛科技无锡有限公司喷漆线</w:t>
      </w:r>
    </w:p>
    <w:p w14:paraId="6A6C6AB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技术改造项目环境影响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乾盛科技无锡有限公司：</w:t>
      </w:r>
    </w:p>
    <w:p w14:paraId="5069D3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你单位报送的由南大环境规划设计研究院（江苏）有限公司编制的《乾盛科技无锡有限公司喷漆线技术改造项目环境影响报告表》（以下称“报告表”）等相关材料均悉。经研究，审批意见如下：</w:t>
      </w:r>
    </w:p>
    <w:p w14:paraId="3A780F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31C373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改建，建设地点为无锡市新吴区鸿山街道鸿昌路79号，总投资1500万元，建设喷漆线技术改造项目（技改内容：将二楼2条水性底中线、1条水性面漆线改造为2条水油共用底中线、1条水性/UV共用面漆线，三楼2条水性底中线、1条水性面漆线改造为2条油性底中线、1条UV面漆线，二、三层底中线两备两用），形成年产1000万套笔记本、电脑键盘的能力。项目投产后的产品、规模、生产工艺、设备的类型和数量必须符合报告表内容。</w:t>
      </w:r>
    </w:p>
    <w:p w14:paraId="4DEB27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1230C6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273CAB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后达到《污水综合排放标准》（GB8978-1996）表4中的三级标准和《污水排入城镇下水道水质标准》（GB/T31962-2015）表1中标准后，接入梅村水处理厂集中处理。该项目利用原有的一个污水排放口，不得增设排污口。</w:t>
      </w:r>
    </w:p>
    <w:p w14:paraId="1BF550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w:t>
      </w:r>
    </w:p>
    <w:p w14:paraId="77E2A1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车间二层、三层四条底中喷漆线（两用两备）产生的喷漆废气经水帘除雾处理，与流平烘干、供漆废气、三层调漆间、危废暂存间废气、试样手喷废气经有效收集，采用“水洗+除雾+过滤+沸石转轮+CO”装置处理后，尾气通过20米高排气筒FQ-1排放；</w:t>
      </w:r>
    </w:p>
    <w:p w14:paraId="087A49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车间二层UV喷漆线产生的喷漆废气经水帘除雾处理，与流平烘干、光固化废气、1#~4#烘箱废气、一层危废仓库及循环水池废气经有效收集，采用“水洗+除雾+过滤+两级活性炭吸附”装置处理后，尾气通过20米高FQ-2排放；</w:t>
      </w:r>
    </w:p>
    <w:p w14:paraId="0566E9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车间三层UV喷漆线产生的喷漆废气经水帘除雾处理，与流平烘干、光固化废气、5#~7#烘箱及印刷车间废气经有效收集，采用“水洗+除雾+过滤+两级活性炭吸附”装置处理后，尾气通过20米高FQ-3排放；</w:t>
      </w:r>
    </w:p>
    <w:p w14:paraId="58B11B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车间二层3条喷漆线前端静电除尘废气经有效收集，采用过滤棉吸附装置处理后，尾气通过20米高FQ-4排放；</w:t>
      </w:r>
    </w:p>
    <w:p w14:paraId="1F439F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车间三层3条喷漆线前端静电除尘废气经有效收集，过滤棉吸附装置处理后，尾气通过20米高FQ-5排放；</w:t>
      </w:r>
    </w:p>
    <w:p w14:paraId="3B785E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镭雕废气经有效收集，采用滤筒式除尘器处理后，尾气通过20米高FQ-6排放。</w:t>
      </w:r>
    </w:p>
    <w:p w14:paraId="0E1FB6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7F9F05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镭雕及静电除尘工序有组织排放的颗粒物执行《大气污染物综合排放标准》（DB32/4041-2021）表1相关标准，其他工序有组织排放的颗粒物、非甲烷总烃、苯系物执行《工业涂装工序大气污染物排放标准》（DB32/4439-2022）表1相关标准；厂界无组织排放的颗粒物、非甲烷总烃、苯系物执行《大气污染物综合排放标准》（DB32/4041-2021）表3相关标准；厂区内非甲烷总烃无组织排放监控点浓度执行《工业涂装工序大气污染物排放标准》（DB32/4439-2022）中表3相关标准。</w:t>
      </w:r>
    </w:p>
    <w:p w14:paraId="74DB0E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22241C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486460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5ABA0D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单个排气筒处理规模30000m3/h以上的有机废气排气筒出口安装VOCs自动监控设备，在线监测数据与新吴生态环境部门联网，确保有效运行。</w:t>
      </w:r>
    </w:p>
    <w:p w14:paraId="5E9174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8.根据报告表推荐，全厂生产车间外周边100米范围，不得新建居民住宅区、学校、医院等环境保护敏感点。</w:t>
      </w:r>
    </w:p>
    <w:p w14:paraId="137A53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1D9E92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1.大气污染物（有组织）：（全厂）颗粒物≤0.7836吨、非甲烷总烃≤3.8815吨（含苯系物≤0.0922吨）。</w:t>
      </w:r>
    </w:p>
    <w:p w14:paraId="1B8AD7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2.水污染物（接管考核量）：（全厂）废水排放量≤3600吨、COD≤1.377吨、SS≤1.008吨、氨氮（生活）≤0.126吨、总磷（生活）≤0.018吨、总氮（生活）≤0.144吨。</w:t>
      </w:r>
    </w:p>
    <w:p w14:paraId="6B0DE0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52CDA7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717FDE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58FBDB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六、开展内部污染防治设施（粉尘治理等环境治理设施）安全风险辨识，健全污染防治设施稳定运行和管理责任制度，严格依据标准规范建设环境治理设施，确保环境治理设施安全、稳定、有效运行。</w:t>
      </w:r>
    </w:p>
    <w:p w14:paraId="372713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（项目代码：2410-320214-89-02-463407）</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9AD17E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19</w:t>
      </w:r>
      <w:r>
        <w:rPr>
          <w:rFonts w:hint="default" w:ascii="Times New Roman" w:hAnsi="Times New Roman" w:eastAsia="仿宋" w:cs="Times New Roman"/>
          <w:sz w:val="32"/>
          <w:szCs w:val="32"/>
        </w:rPr>
        <w:t>日</w:t>
      </w:r>
    </w:p>
    <w:p w14:paraId="108839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8B4EF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8721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826C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66D2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C9B7C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B231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656A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EB3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B9FB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A0D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8E50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034A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596D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CD7A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684D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202C1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B5C2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DEEB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BD61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5FBEA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2E0F46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2B49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6DD9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3283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19</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54FAD"/>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506E45"/>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766318"/>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2853</Words>
  <Characters>3273</Characters>
  <Lines>18</Lines>
  <Paragraphs>5</Paragraphs>
  <TotalTime>6</TotalTime>
  <ScaleCrop>false</ScaleCrop>
  <LinksUpToDate>false</LinksUpToDate>
  <CharactersWithSpaces>3349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2026-05-19T02:12:37Z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