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081</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15CE3B0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关于江苏北特汽车零部件有限公司高端汽车</w:t>
      </w:r>
    </w:p>
    <w:p w14:paraId="2F45D10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零部件生产线设备更新改造项目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江苏北特汽车零部件有限公司：</w:t>
      </w:r>
    </w:p>
    <w:p w14:paraId="4690E5F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你单位报送的由无锡恒新环境技术有限公司编制的《江苏北特汽车零部件有限公司高端汽车零部件生产线设备更新改造项目环境影响报告表》（以下称“报告表”）等相关材料均悉。经研究，审批意见如下：</w:t>
      </w:r>
    </w:p>
    <w:p w14:paraId="715BEB6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1534428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改建，建设地点为无锡市新吴区鸿山街道鸿运南路7号，总投资10000万元，建设高端汽车零部件生产线设备更新改造项目，技改后全厂产能不变，仍为年产高端汽车精密零部件2亿件的生产能力（年产采埃孚CDC阀6500万件、BOSCH高压共轨精密零件600万件、高精度转向精密小件300万件、柴油喷油器体1450万件、汽油喷油器体6800万件、博世活塞阀1500万件、博世法兰阀2400万件、康明斯喷油器体200万件、泵头250万件的生产能力）。项目投产后的产品、规模、生产工艺、设备的类型和数量必须符合报告表内容。</w:t>
      </w:r>
    </w:p>
    <w:p w14:paraId="137EDFF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02BAABA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7C40B68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电解去毛刺废水、阀板冲洗废水经废水处理站（一线）处理，切削废水、清洗废水、空压机排水、地面清洗废水经混合废水处理站（二线）处理后共用低温蒸发处理后达到回用水标准后全部回用于生产，不得外排；废水处理站（一线）、混合废水处理站（二线）出口、回用水回用工序进口按国家有关规范安装流量计在线监控设备，并与新吴生态环境部门联网；生活污水经化粪池预处理后与生活用空调冷却排水、冷却塔排水一并达到《污水综合排放标准》（GB8978-1996）表4中三级标准和《污水排入城镇下水道水质标准》（GB/T31962-2015）表1中标准后，接入梅村水处理厂集中处理。该项目利用原有的一个污水排放口。</w:t>
      </w:r>
    </w:p>
    <w:p w14:paraId="376BF13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7477F09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机加工废气经有效收集，采用17套油雾净化器处理后，尾气分别通过15米高排气筒FQ01、FQ02、FQ03、FQ04、FQ05排放；清洗废气经有效收集，采用二级活性炭吸附处理后，尾气通过15米高排气筒FQ07排放；喷砂废气经有效收集，采用滤袋除尘器处理后，尾气通过15米高排气筒FQ08排放；渗氮废气经有效收集，采用EGN废气中和装置处理后，尾气通过15米高排气筒FQ09排放；废水处理站废气经有效收集，采用活性炭吸附处理后，尾气通过15米高排气筒FQ10排放；氨分解废气经有效收集，采用水吸收处理后，尾气通过15米高排气筒FQ11排放；危废仓库贮存废气经有效收集，采用二级活性炭吸附处理后，尾气通过15米高排气筒FQ12排放。</w:t>
      </w:r>
    </w:p>
    <w:p w14:paraId="3F02EC9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本项目共设排气筒11根，FQ01、FQ02依托现有，其余均为新增。</w:t>
      </w:r>
    </w:p>
    <w:p w14:paraId="4D95E75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喷砂、机加工、清洗有组织排放的颗粒物、非甲烷总烃执行《大气污染物综合排放标准》（DB32/4041-2021）表1中相关标准，渗氮处理、氨分解、废水处理站产生的氨、硫化氢、臭气浓度执行《恶臭污染物排放标准》（GB14554-93）中表2中相关标准，天然气燃烧产生的颗粒物、二氧化硫、氮氧化物、林格曼黑度执行《工业炉窑大气污染物排放标准》（DB32/3728-2020）表1标准；厂界无组织排放的颗粒物、非甲烷总烃执行《大气污染物综合排放标准》（DB32/4041-2021）表3中相关标准，氨、硫化氢、臭气浓度执行《恶臭污染物排放标准》（GB14554-93）表1标准；厂区内无组织排放的非甲烷总烃执行《大气污染物综合排放标准》（DB32/4041-2021）表2中相关标准。</w:t>
      </w:r>
    </w:p>
    <w:p w14:paraId="51EA87E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329BF0E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1172A47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5F93B45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6549CE7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8.根据报告表推荐，全厂厂界外周边100米范围，不得新建居民住宅区、学校、医院等环境保护敏感点。</w:t>
      </w:r>
    </w:p>
    <w:p w14:paraId="1A15C9A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BA174C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0.2872吨、颗粒物≤0.0839吨、氨≤0.2609吨、硫化氢≤0.0418吨、二氧化硫≤0.0072吨、氮氧化物≤0.0561吨。（全厂）非甲烷总烃≤0.3322吨、颗粒物≤0.0839吨、氨≤0.2609吨、硫化氢≤0.0418吨、二氧化硫≤0.0072吨、氮氧化物≤0.0561吨。</w:t>
      </w:r>
    </w:p>
    <w:p w14:paraId="5EDE686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1958吨、COD≤0.6616吨、SS≤0.4354吨、氨氮（生活）≤0.0473吨、总氮（生活）≤0.0540吨、总磷（生活）≤0.0068吨；（全厂）废水排放量≤6118吨、COD≤2.2857吨、SS≤1.633吨、氨氮（生活）≤0.186吨、总氮（生活）≤0.2124吨、总磷（生活）≤0.0265吨。</w:t>
      </w:r>
    </w:p>
    <w:p w14:paraId="05E7200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F5AB0D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61FC05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065FB4C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507A89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（项目代码：2508-320214-89-02-824675）</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19</w:t>
      </w:r>
      <w:r>
        <w:rPr>
          <w:rFonts w:hint="default" w:ascii="Times New Roman" w:hAnsi="Times New Roman" w:eastAsia="仿宋" w:cs="Times New Roman"/>
          <w:sz w:val="32"/>
          <w:szCs w:val="32"/>
        </w:rPr>
        <w:t>日</w:t>
      </w:r>
    </w:p>
    <w:p w14:paraId="2451A4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657F4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8839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0F46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2B49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3283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19</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1080</Words>
  <Characters>1160</Characters>
  <Lines>18</Lines>
  <Paragraphs>5</Paragraphs>
  <TotalTime>6</TotalTime>
  <ScaleCrop>false</ScaleCrop>
  <LinksUpToDate>false</LinksUpToDate>
  <CharactersWithSpaces>1160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2026-05-19T02:03:28Z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