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077</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698039D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关于无锡药明合联生物技术有限公司制剂</w:t>
      </w:r>
    </w:p>
    <w:p w14:paraId="4FAE447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商业化生产线（XDP5和XDP6）</w:t>
      </w:r>
    </w:p>
    <w:p w14:paraId="2E6B8A6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改扩建项目环境影响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无锡药明合联生物技术有限公司：</w:t>
      </w:r>
    </w:p>
    <w:p w14:paraId="60135ED1">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泽成环境科技有限公司编制的《无锡药明合联生物技术有限公司制剂商业化生产线（XDP5和XDP6）改扩建项目环境影响报告表》（以下称“报告表”）和南京长三角绿色发展研究院有限公司的技术评估意见（绿院评估〔2026〕146号）等相关材料均悉。经研究，审批意见如下：</w:t>
      </w:r>
    </w:p>
    <w:p w14:paraId="7CAC9F42">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7E33280D">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旺庄街道新辉环路11号，总投资69455万元，建设制剂商业化生产线（XDP5和XDP6）改扩建项目，年新增复配22MM支水针/冻干偶联制剂，全厂形成年产ADC原液20.5吨、ADC注射液680万支、ADC冻干粉2775万支、偶联原液80000升、管路产品33000个、医用胶塞144万个的生产能力，配套年研发ADC原液3吨、ADC注射液20万支、ADC冻干粉10万支、单抗原液25000升、偶联原液25000升、连接子28.8千克、工艺研发70批次、ADC制剂100批次的研发能力。项目投产后的产品、规模、生产工艺、设备的类型和数量必须符合报告表内容。</w:t>
      </w:r>
    </w:p>
    <w:p w14:paraId="5F9B9DEB">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根据无锡高新区（新吴区）发展和改革委员会《关于认定无锡药明合联生物技术有限公司制剂商业化生产线（XDP5和XDP6）改扩建项目属于战略性新兴产业类别的复函》（锡新发改函〔2025〕32号），该项目属于江苏省太湖流域战略性新兴产业类别。</w:t>
      </w:r>
    </w:p>
    <w:p w14:paraId="3961B8ED">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116472DE">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1B85DD66">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非氮磷生产废水达到《生物制药行业水和大气污染物排放限值》（DB32/3560-2019）表2生物工程类制药企业（含生产设施）“直接排放限值”后，通过排污口WS-MA1W01接管新城水处理厂集中处理；氮磷生产废水经厂区污水处理设施处理后，达到《生物制药行业水和大气污染物排放限值》（DB32/3560-2019）表2生物工程类制药企业（含生产设施）“直接排放限值”后，通过排污口WS-MA1W02接管新城水处理厂集中处理；生活污水经化粪池预处理，达到《污水综合排放标准》（GB8978-1996）表4中的三级标准和《污水排入城镇下水道水质标准》（GB/T31962-2015）表1中标准后，通过污水排放口WS-MA1W03接入新城水处理厂集中处理。该项目利用原有的3个污水排放口，不得增设排污口。排放口WS-MA1W02按国家有关规范安装流量计、pH、COD、氨氮、总氮、总磷在线监控设备，在线监测数据与新吴生态环境部门联网，确保有效运行。</w:t>
      </w:r>
    </w:p>
    <w:p w14:paraId="71EBE6B6">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区域清洁消毒废气经有效收集，采用“水喷淋+碱喷淋（含除雾）+活性炭吸附”处理后，尾气通过23米高排气筒DA020排放；废水站废气经有效收集，采用“次氯酸钠喷淋+碱喷淋+活性炭吸附”处理后，尾气通过25米高排气筒DA018排放。本项目共设排气筒2根，其中DA020为新增排气筒。</w:t>
      </w:r>
    </w:p>
    <w:p w14:paraId="4A943B7D">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49B4E22B">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本项目产生的非甲烷总烃有组织排放执行《制药工业大气污染物排放标准》（DB 32/4042-2021）表1及表C.1标准，污水处理站废气氨、硫化氢、臭气浓度执行《制药工业大气污染物排放标准》（DB 32/4042-2021）表3标准；厂界无组织排放的非甲烷总烃执行《生物制药行业水和大气污染物排放限值》（DB 32/3560-2019）表4标准，氨、硫化氢执行《恶臭污染物排放标准》（GB 14554-93）表1标准，臭气浓度执行《制药工业大气污染物排放标准》（DB 32/4042-2021）表7标准；厂区内非甲烷总烃执行《制药工业大气污染物排放标准》（DB 32/4042-2021）表6限值。</w:t>
      </w:r>
    </w:p>
    <w:p w14:paraId="072E894D">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78975A96">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7B4CBC29">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4855446B">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27D5281E">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8.根据报告表推荐，全厂厂界外周边100米范围，不得新建居民住宅区、学校、医院等环境保护敏感点。</w:t>
      </w:r>
    </w:p>
    <w:p w14:paraId="44FBA4D4">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6BDDAFE2">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w:t>
      </w:r>
    </w:p>
    <w:p w14:paraId="67CF61C1">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（本项目）非甲烷总烃≤1.5900吨、硫化氢≤0.0003吨、氨≤0.0069吨；</w:t>
      </w:r>
    </w:p>
    <w:p w14:paraId="2B3B97B0">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（全厂区）非甲烷总烃≤2.7492吨（其中甲醇≤0.2645吨、乙腈≤0.0482吨、二氯甲烷≤0.0408吨、丙酮≤0.0053吨、甲苯≤0.0010吨）、硫化氢≤0.0006吨、氨≤0.0153吨。</w:t>
      </w:r>
    </w:p>
    <w:p w14:paraId="63D1BAD3">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2.水污染物（接管考核量/最终外排量）：</w:t>
      </w:r>
    </w:p>
    <w:p w14:paraId="4A1404E2">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w:t>
      </w:r>
    </w:p>
    <w:p w14:paraId="4A8E441F">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WS-MA1W01：废水排放量≤86241.381吨，COD≤2.9430/1.7248吨、SS≤2.0805/0.4312吨；</w:t>
      </w:r>
    </w:p>
    <w:p w14:paraId="59A66542">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WS-MA1W02：废水排放量≤11144吨，COD≤0.6686/0.2229吨、氨氮≤0.0892/0.0111吨、总氮≤0.2229/0.0557吨、总磷≤0.0056/0.00167吨、SS≤0.5572/0.0557吨；</w:t>
      </w:r>
    </w:p>
    <w:p w14:paraId="60DED5B3">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WS-MA1W03：废水排放量≤4032吨，COD≤2.016/0.0806吨、氨氮（生活）≤0.1814/0.004吨、总氮（生活）≤0.2822/0.0202吨、总磷（生活）≤0.0323/0.0006吨、SS≤1.6128/0.0202吨。</w:t>
      </w:r>
    </w:p>
    <w:p w14:paraId="7EB54511">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（全厂区）</w:t>
      </w:r>
    </w:p>
    <w:p w14:paraId="1ED6CC84">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WS-MA1W01：废水排放量≤526264.343吨，COD≤27.726/10.5253吨、SS≤19.9195/2.6313吨、LAS≤0.014/0.22吨；</w:t>
      </w:r>
    </w:p>
    <w:p w14:paraId="1E5E401D">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WS-MA1W02：废水排放量≤62108.92吨，COD≤3.7265/1.2422吨、氨氮≤0.4969/0.0621吨、总氮≤1.2422/0.3105吨、总磷≤0.0311/0.00934吨、SS≤3.1054/0.3105吨；</w:t>
      </w:r>
    </w:p>
    <w:p w14:paraId="152D84E0">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WS-MA1W03：废水排放量≤118128吨，COD≤54.3/2.3626吨、氨氮（生活）≤5.01/0.1181吨、总氮（生活）≤7.8936/0.5906吨、总磷（生活）≤0.9263/0.0177吨、SS≤35.3952/0.5906吨。</w:t>
      </w:r>
    </w:p>
    <w:p w14:paraId="7B065317">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35C110E6">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711F0AD1">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59E18502">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六、开展内部污染防治设施（污水处理等环境治理设施）安全风险辨识，健全污染防治设施稳定运行和管理责任制度，严格依据标准规范建设环境治理设施，确保环境治理设施安全、稳定、有效运行。</w:t>
      </w:r>
    </w:p>
    <w:p w14:paraId="1C4EC347">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5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（项目代码：2504-320214-89-05-791036）</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9AD17E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13</w:t>
      </w:r>
      <w:r>
        <w:rPr>
          <w:rFonts w:hint="default" w:ascii="Times New Roman" w:hAnsi="Times New Roman" w:eastAsia="仿宋" w:cs="Times New Roman"/>
          <w:sz w:val="32"/>
          <w:szCs w:val="32"/>
        </w:rPr>
        <w:t>日</w:t>
      </w:r>
    </w:p>
    <w:p w14:paraId="2451A48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2657F4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94E6EB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69621B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59D952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204EED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8DF7D2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990961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7E2DAC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C0C176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C59E7C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DF2FCF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6EB727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3AB679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3230C6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89F8B3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A9B24C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69F436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3CF41C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F4ABB3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A9DC91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3BBEAA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1EC90A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bookmarkStart w:id="0" w:name="_GoBack"/>
      <w:bookmarkEnd w:id="0"/>
    </w:p>
    <w:p w14:paraId="642FC43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C6E1E0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720AB2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654C4A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611A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1E0B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C55A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EF4B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04BF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6DD9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A18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5</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13</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7F1D03"/>
    <w:rsid w:val="10833112"/>
    <w:rsid w:val="10B34472"/>
    <w:rsid w:val="11020FDA"/>
    <w:rsid w:val="11143FB0"/>
    <w:rsid w:val="11506E45"/>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766318"/>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1929</Words>
  <Characters>2144</Characters>
  <Lines>18</Lines>
  <Paragraphs>5</Paragraphs>
  <TotalTime>9</TotalTime>
  <ScaleCrop>false</ScaleCrop>
  <LinksUpToDate>false</LinksUpToDate>
  <CharactersWithSpaces>2220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2026-05-13T03:01:24Z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