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065</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1FE7CC0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关于无锡市新来元热能科技有限公司</w:t>
      </w:r>
    </w:p>
    <w:p w14:paraId="192B159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年产1.2万吨机械部件搬迁项目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无锡市新来元热能科技有限公司</w:t>
      </w:r>
      <w:r>
        <w:rPr>
          <w:rFonts w:hint="default" w:ascii="Times New Roman" w:hAnsi="Times New Roman" w:eastAsia="仿宋" w:cs="Times New Roman"/>
          <w:sz w:val="32"/>
          <w:szCs w:val="32"/>
          <w:lang w:val="en-US" w:eastAsia="zh-CN"/>
        </w:rPr>
        <w:t>：</w:t>
      </w:r>
    </w:p>
    <w:p w14:paraId="55D1FA9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你单位报送的由无锡新视野环保有限公司编制的《无锡市新来元热能科技有限公司年产1.2万吨机械部件搬迁项目环境影响报告表》（以下称“报告表”）等相关材料均悉。经研究，审批意见如下：</w:t>
      </w:r>
    </w:p>
    <w:p w14:paraId="4F63BF5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5AC7DB0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鸿山街道鸿祥路57号，总投资400万元，建设年产1.2万吨机械部件搬迁项目，全厂形成年热处理机械部件1.2万吨、年热处理后喷丸0.15万吨、年热处理后抛丸0.15万吨的能力。项目投产后的产品、规模、生产工艺、设备的类型和数量必须符合报告表内容。</w:t>
      </w:r>
    </w:p>
    <w:p w14:paraId="6F25317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2297B9D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52D926F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达到《污水综合排放标准》（GB8978-1996）表4中的三级标准和《污水排入城镇下水道水质标准》（GB/T31962-2015）表1中标准后，接入硕放水处理厂集中处理。本项目只允许设置一个污水排放口。</w:t>
      </w:r>
    </w:p>
    <w:p w14:paraId="365E7F2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热处理天然气燃烧废气经有效收集，尾气通过15米高排气筒FQ-01排放；喷丸废气经有效收集，采用脉冲滤筒除尘器处理后，尾气通过15米高排气筒FQ-02排放；抛丸废气经有效收集，采用脉冲滤筒除尘器处理后，尾气通过15米高排气筒FQ-03排放。本项目共设排气筒3根。</w:t>
      </w:r>
    </w:p>
    <w:p w14:paraId="160D8F5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w:t>
      </w:r>
    </w:p>
    <w:p w14:paraId="40CBDFC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喷丸、抛丸工序产生的颗粒物执行《大气污染物综合排放标准》(DB32/4041-2021)表1和表3相关标准；热处理天然气产生的颗粒物、二氧化硫、氮氧化物执行《工业炉窑大气污染物排放标准》（DB 32/3728-2020）表1相关标准。</w:t>
      </w:r>
    </w:p>
    <w:p w14:paraId="3D1B425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7C7EA8F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按规定建立健全一般工业固废管理台账，依法申报固体废物管理计划。生活垃圾委托环卫部门处理，一般工业废物依法综合利用、处置。</w:t>
      </w:r>
    </w:p>
    <w:p w14:paraId="59BDC7C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w:t>
      </w:r>
    </w:p>
    <w:p w14:paraId="49D6B69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14354EE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8.根据报告表推荐，全厂生产车间外周边50米范围，不得新建居民住宅区、学校、医院等环境保护敏感点。</w:t>
      </w:r>
    </w:p>
    <w:p w14:paraId="24A28F4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0261EC6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1.大气污染物（有组织）：（本项目）颗粒物≤0.2492吨、二氧化硫≤0.09吨、氮氧化物≤0.645吨.</w:t>
      </w:r>
    </w:p>
    <w:p w14:paraId="30B040B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2.水污染物（接管考核量）：（本项目）废水排放量≤102吨、COD≤0.0383吨、SS≤0.0245吨、氨氮（生活）≤0.0036吨、总磷（生活）≤0.0005吨、总氮（生活）≤0.0041吨。</w:t>
      </w:r>
    </w:p>
    <w:p w14:paraId="0A70A7D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8F42FC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7253200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539945C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664818E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（项目代码：2601-320214-89-05-562977）</w:t>
      </w: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23</w:t>
      </w:r>
      <w:r>
        <w:rPr>
          <w:rFonts w:hint="default" w:ascii="Times New Roman" w:hAnsi="Times New Roman" w:eastAsia="仿宋" w:cs="Times New Roman"/>
          <w:sz w:val="32"/>
          <w:szCs w:val="32"/>
        </w:rPr>
        <w:t>日</w:t>
      </w:r>
    </w:p>
    <w:p w14:paraId="3DEC7A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D579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B3BC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4E78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250E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F6EF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324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611A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E0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C5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4BF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4</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C511EC"/>
    <w:rsid w:val="11D35221"/>
    <w:rsid w:val="11E66D6E"/>
    <w:rsid w:val="12125D43"/>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9133CF"/>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4405</Words>
  <Characters>5315</Characters>
  <Lines>18</Lines>
  <Paragraphs>5</Paragraphs>
  <TotalTime>28</TotalTime>
  <ScaleCrop>false</ScaleCrop>
  <LinksUpToDate>false</LinksUpToDate>
  <CharactersWithSpaces>5397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2026-04-23T01:17:36Z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