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043</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4A3E9D9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关于华虹宏力半导体（无锡）有限公司</w:t>
      </w:r>
    </w:p>
    <w:p w14:paraId="7015314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华虹FAB9B项目环境影响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华虹宏力半导体</w:t>
      </w:r>
      <w:r>
        <w:rPr>
          <w:rFonts w:hint="eastAsia" w:ascii="Times New Roman" w:hAnsi="Times New Roman" w:eastAsia="仿宋" w:cs="Times New Roman"/>
          <w:sz w:val="32"/>
          <w:szCs w:val="32"/>
          <w:lang w:val="en-US" w:eastAsia="zh"/>
        </w:rPr>
        <w:t>（</w:t>
      </w:r>
      <w:r>
        <w:rPr>
          <w:rFonts w:hint="eastAsia" w:ascii="Times New Roman" w:hAnsi="Times New Roman" w:eastAsia="仿宋" w:cs="Times New Roman"/>
          <w:sz w:val="32"/>
          <w:szCs w:val="32"/>
          <w:lang w:val="en-US" w:eastAsia="zh-CN"/>
        </w:rPr>
        <w:t>无锡</w:t>
      </w:r>
      <w:r>
        <w:rPr>
          <w:rFonts w:hint="eastAsia" w:ascii="Times New Roman" w:hAnsi="Times New Roman" w:eastAsia="仿宋" w:cs="Times New Roman"/>
          <w:sz w:val="32"/>
          <w:szCs w:val="32"/>
          <w:lang w:val="en-US" w:eastAsia="zh"/>
        </w:rPr>
        <w:t>）</w:t>
      </w:r>
      <w:r>
        <w:rPr>
          <w:rFonts w:hint="eastAsia" w:ascii="Times New Roman" w:hAnsi="Times New Roman" w:eastAsia="仿宋" w:cs="Times New Roman"/>
          <w:sz w:val="32"/>
          <w:szCs w:val="32"/>
          <w:lang w:val="en-US" w:eastAsia="zh-CN"/>
        </w:rPr>
        <w:t>有限公司</w:t>
      </w:r>
      <w:r>
        <w:rPr>
          <w:rFonts w:hint="default" w:ascii="Times New Roman" w:hAnsi="Times New Roman" w:eastAsia="仿宋" w:cs="Times New Roman"/>
          <w:sz w:val="32"/>
          <w:szCs w:val="32"/>
          <w:lang w:val="en-US" w:eastAsia="zh-CN"/>
        </w:rPr>
        <w:t>：</w:t>
      </w:r>
      <w:bookmarkStart w:id="0" w:name="_GoBack"/>
      <w:bookmarkEnd w:id="0"/>
    </w:p>
    <w:p w14:paraId="7C6EE7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信息产业电子第十一设计研究院科技工程股份有限公司编制的《华虹宏力半导体（无锡）有限公司华虹FAB9B项目环境影响报告表》（以下称“报告表”）附环境风险专项和南京长三角绿色发展研究院有限公司出具的技术评估意见（绿院评估﹝2026﹞115号）等相关材料均悉。经研究，审批意见如下：</w:t>
      </w:r>
    </w:p>
    <w:p w14:paraId="384CAE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一、根据报告表及相关专项的结论和技术评估意见，在落实报告表中提出的各项污染防治及风险防范措施的前提下，从生态环境保护角度分析，同意该项目按照报告表中的建设内容在拟定地点进行建设。</w:t>
      </w:r>
    </w:p>
    <w:p w14:paraId="792D39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新洲路30-2号，总投资4975227万元，建设华虹FAB9B项目，全厂形成年产12英寸线宽40-28/22纳米特色集成电路芯片66万片的生产能力。项目投产后的产品、规模、生产工艺、设备的类型和数量必须符合报告表内容。</w:t>
      </w:r>
    </w:p>
    <w:p w14:paraId="63D3C0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根据无锡高新区（新吴区）发展和改革委员会《关于认定华虹宏力半导体（无锡）有限公司华虹FAB9B项目属于江苏省太湖流域战略性新兴产业类别的复函》（锡新发改函〔2026〕1号），该项目属于江苏省太湖流域战略新兴产业。</w:t>
      </w:r>
    </w:p>
    <w:p w14:paraId="0EE73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5FE507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D63BD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产废水委托华虹半导体制造（无锡）有限公司处理，达到新城水处理二厂协议接管标准（COD≤100mg/L、SS≤56mg/L、氨氮≤40mg/L、总氮≤50mg/L、总磷≤1mg/L、氟化物≤3mg/L、总铜≤0.3mg/L）和《半导体行业污染物排放标准》（DB 32/3747-2020）表2单位产品基准排水量要求后，通过专用管道接入无锡市高新水务有限公司新城水处理二厂集中处理；生活污水委托华虹半导体制造（无锡）有限公司处理，达到《污水综合排放标准》（GB8978-1996）表4中的三级标准和《污水排入城镇下水道水质标准》（GB/T31962-2015）表1中标准后，接入新城水处理一厂集中处理。本项目废水利用华虹半导体制造（无锡）有限公司现有的2个污水排放口，不得增设排污口。</w:t>
      </w:r>
    </w:p>
    <w:p w14:paraId="292A6B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酸洗、光刻、化学机械研磨等工序产生的酸性废气分别经有效收集，采用三级碱液喷淋吸收塔处理后，尾气分别通过44米高排气筒DA001—DA015排放；热氧化、CVD沉积及腔体清洁、外延、干法刻蚀、去胶、扩散、离子注入（砷、磷、锑除外）等工序产生的工艺尾气分别经有效收集，采用POU装置（燃烧水洗/干式吸附/PLASMA/电加热水洗）预处理后，采用“文丘里除尘+碱液喷淋吸收塔”处理，尾气通过44米高排气筒DA016—DA021排放；碱洗、光刻、化学机械研磨等工序产生的碱性废气分别经有效收集，采用二级酸液喷淋吸收塔处理，尾气通过44米高排气筒DA022—DA027排放；光刻、化学机械研磨等工序产生的有机废气分别经有效收集，采用沸石浓缩转轮焚烧装置处理后，通过44米高排气筒DA028—DA031排放；离子注入砷、磷、锑等工序工艺尾气经有效收集，采用POU装置（干式吸附）处理后，尾气通过44米高排气筒DA032—DA034排放；锅炉产生的天然气燃烧尾气通过44米高排气筒DA035—DA036排放。本项目共设排气筒36根。</w:t>
      </w:r>
    </w:p>
    <w:p w14:paraId="71B670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有组织排放的氟化物、氯化氢、氯气、氨、异丙醇、砷化氢、磷化氢、颗粒物、非甲烷总烃、硫酸雾执行《半导体行业污染物排放标准》（DB 32/3747-2020）表3标准；氮氧化物按工艺分别执行江苏省《半导体行业污染物排放标准》（DB 32/3747-2020）表3标准和江苏省《大气污染物综合排放标准》（DB 32/4041-2021）表1标准；二氧化硫执行《大气污染物综合排放标准》（DB 32/4041-2021）表1标准；锅炉天然气燃烧尾气颗粒物、二氧化硫、氮氧化物、烟气黑度执行《锅炉大气污染物排放标准》（DB 32/4385-2022）表1标准。</w:t>
      </w:r>
    </w:p>
    <w:p w14:paraId="44FC29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组织排放的氮氧化物、氟化物执行《大气污染物综合排放标准》（DB32/4041-2021）表3标准；氯化氢、氨、硫酸雾、非甲烷总烃执行《半导体行业污染物排放标准》（DB32/3747-2020）表4标准；厂区内非甲烷总烃无组织排放监控点浓度执行江苏省《大气污染物综合排放标准》（DB32/4041-2021）中表2中排放限值。</w:t>
      </w:r>
    </w:p>
    <w:p w14:paraId="1E6705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164E45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227EE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8CB76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7.按《江苏省排污口设置及规范化整治管理办法》（苏环控〔1997〕122号）的要求规范化设置各类排污口和标识。有机废气排气筒出口设置VOCs在线监测装置并按要求与新吴生态环境部门联网。</w:t>
      </w:r>
    </w:p>
    <w:p w14:paraId="53624B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8.根据报告表推荐，全厂以化学品仓库H3、化学品仓库H2、仓库S3、仓库S4、仓库S5、危险品库P3、危险品库P4和水站W8外周边50米范围内，不得新建居民住宅区、学校、医院等环境保护敏感点。</w:t>
      </w:r>
    </w:p>
    <w:p w14:paraId="11A651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736BF6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二氧化硫≤19.73吨、氮氧化物≤147.855吨、颗粒物≤27.269吨、非甲烷总烃≤52.515吨（其中异丙醇≤21.23吨）、氟化物≤12.132吨、氯化氢≤33.312吨、硫酸雾≤31.095吨、氯气≤3.906吨、氨≤22.183吨、硫化氢≤0.005吨、磷化氢≤0.003吨、砷化氢≤0.003吨；（无组织）氯化氢≤0.406吨、氟化物≤0.07吨、氨≤0.03吨、硫化氢≤0.003吨、氮氧化物≤0.228吨、非甲烷总烃≤0.106吨。</w:t>
      </w:r>
    </w:p>
    <w:p w14:paraId="6D03FF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2.水污染物（接管考核量/最终外排量）：</w:t>
      </w:r>
    </w:p>
    <w:p w14:paraId="2D3AFF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生产废水（新城水处理二厂）：废水排放量≤823.4400万吨；COD≤823.4400吨/164.6880吨、SS≤461.1264吨/41.1720吨、氨氮≤329.3760吨/8.2344吨、总氮≤411.7200吨/41.1720吨、总磷≤8.2344吨/1.2352吨、氟化物≤24.7032吨/8.2344吨、总铜≤2.4703吨/0.3294吨。</w:t>
      </w:r>
    </w:p>
    <w:p w14:paraId="4015F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生活污水（新城水处理一厂）：废水排放量≤5.4202万吨；COD≤27.1013吨/1.0841吨、SS≤21.6810吨/0.2710吨、氨氮（生活）≤2.4391吨/0.0542吨、总氮（生活）≤3.7942吨/0.2710吨、总磷（生活）≤0.4336吨/0.0081吨。</w:t>
      </w:r>
    </w:p>
    <w:p w14:paraId="3E08F9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5AB58C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B4E0A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4D6505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（项目代码：2510-320214-89-01-825522）</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13</w:t>
      </w:r>
      <w:r>
        <w:rPr>
          <w:rFonts w:hint="default" w:ascii="Times New Roman" w:hAnsi="Times New Roman" w:eastAsia="仿宋" w:cs="Times New Roman"/>
          <w:sz w:val="32"/>
          <w:szCs w:val="32"/>
        </w:rPr>
        <w:t>日</w:t>
      </w: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50F3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D0E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75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C38A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AFB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733A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21A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D0E8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A3B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509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F466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54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8B1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F26B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C706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60C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106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424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8C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0F8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AE0E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370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23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F49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929C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0E26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5B0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8C8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45A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773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261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D9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0931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A6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B91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10E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36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993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DEF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023C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A00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2A6F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7B92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880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B6EC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FDEF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8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D384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C731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CF5C2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5B8F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F15C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5C46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F550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443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37F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98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E49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4A7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C5C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5DA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7714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E88A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F45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C9D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385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DB72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B8C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DA83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85F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50C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ABB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0E77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985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72A4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7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FD6F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7457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8308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91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E4C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EBB0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F1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73FD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9D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333C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E8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D90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D571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FB43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B91E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3CA9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2A62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47BB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AF0B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E67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6261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FDD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A8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8325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7527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373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1A7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CE4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9EC0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32F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217A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8F5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814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11F0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ABD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A37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213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8D4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AEA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C95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F9D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A1DA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823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D81D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470C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277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9199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EB5C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6818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EFC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7AD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0455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D131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82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E04A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D143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AEC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9EB8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A074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8E90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2D8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BAAA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A46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9D40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4840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C45B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49BB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EFFF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84FD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3AB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48FB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0F30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6BB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5B8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B3E6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192A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2F6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781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D143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F774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8EC9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69D7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3A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441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5AA3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3675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208A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E75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D6E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6FEF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3A1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2D9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45C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9349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DB3E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C54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4438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8E09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66D2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B02F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143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4FBB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0DB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FD14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F66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D96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8486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05D8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B8C2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5DC8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074D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588A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DBE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6E92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4E9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D4A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1DF8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7474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90D4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AED0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F7A4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B38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4605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EE37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1D6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4A7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A7F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42BE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FAA6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1ADE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DE97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ED72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8CFC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8DD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2073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B78D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C3C2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81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F27F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6A79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899B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E614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2EA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7CF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F91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66C7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256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7DDE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50C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EA2E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8A2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B893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8D27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C0B4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5377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2920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4865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697C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4C38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EE1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C89D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8E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43C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FEFD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3CA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BE6D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820E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C238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C531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F718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628D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BFF2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97E3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9FFA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622B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AE00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02F6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70EE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C676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467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C64D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702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749E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56E8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DC97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737B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E50B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04F9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10C7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3EA7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0FAA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88C3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186A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B81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5F2D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E973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3687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7D5E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39EC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4EF1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D66F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C848B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5E15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0DB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08BB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7A7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0E32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9B7C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DA7E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55D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4F3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39CE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719B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AEA7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2297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90CB3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C69B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E7B8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2B2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46B5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00F5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D811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007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0FED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CB3A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ED09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437D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765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914C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2C2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9766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7FBA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4F18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B838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85F6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EE4E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7C1C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5A1E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5BFD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66CD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A24F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B99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6250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FC66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112F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4EFA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92F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7093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252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2BDF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935B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8A9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BEAD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F66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7B0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CED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771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ED9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8434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D4C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3C2A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111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E9C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8DD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05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746C65"/>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723</Words>
  <Characters>786</Characters>
  <Lines>18</Lines>
  <Paragraphs>5</Paragraphs>
  <TotalTime>0</TotalTime>
  <ScaleCrop>false</ScaleCrop>
  <LinksUpToDate>false</LinksUpToDate>
  <CharactersWithSpaces>786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2026-03-13T05:15:41Z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