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042</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455F74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关于无锡坚灵模具制造有限公司</w:t>
      </w:r>
    </w:p>
    <w:p w14:paraId="2B81E71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年产铝铸件3800吨项目环境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无锡坚灵模具制造有限公司：</w:t>
      </w:r>
    </w:p>
    <w:p w14:paraId="297F7D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你单位报送的由无锡市科泓环境工程技术有限责任公司编制的《无锡坚灵模具制造有限公司年产铝铸件3800吨项目环境影响报告表》（以下称“报告表”）等相关材料均悉。经研究，审批意见如下：</w:t>
      </w:r>
    </w:p>
    <w:p w14:paraId="07924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55586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鸿山街道金马路9号，总投资3000万元，建设年产铝铸件3800吨项目(本次增加铝铸件3800的生产能力，其中1800吨作为原项目铝制品原料，并对原项目铝制品加热熔化、浇铸、金加工工艺进行技改），全厂形成年产钢模具500付、铝制品100万件、铝铸件3800吨（其中1800吨作为铝制品原料）的生产能力。项目投产后的产品、规模、生产工艺、设备的类型和数量必须符合报告表内容。</w:t>
      </w:r>
    </w:p>
    <w:p w14:paraId="1F9593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C4A9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BBEE0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与冷却废水一并达到《污水综合排放标准》(GB8978-1996)中表4中的三级标准和《污水排入城镇下水道水质标准》(GB/T31962-2015)表1中标准后，接入硕放水处理厂集中处理。该项目利用原有的一个污水排放口，不得增设排污口。</w:t>
      </w:r>
    </w:p>
    <w:p w14:paraId="6A15F0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抛丸废气经有效收集，采用“旋风+湿式除尘器”处理后，尾气通过15米高排气筒FQ-01排放；浇铸前熔化、浇铸废气经有效收集，采用二级水喷淋处理后，尾气经15米高排气筒FQ-02排放。压铸前熔化废气经有效收集，采用二级水喷淋处理后，尾气经15米高排气筒FQ-03排放；压铸废气经有效收集，采用“水喷淋+除雾器+静电油雾收集器”处理后，尾气经15米高排气筒FQ-04排放；打磨废气分别经有效收集，采用湿式除尘器处理后，尾气分别经15米高排气筒FQ-05、FQ-06排放。</w:t>
      </w:r>
    </w:p>
    <w:p w14:paraId="53F119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本项目共设排气筒5根，其中排气筒FQ-01、FQ-02依托现有，其余均为新增。</w:t>
      </w:r>
    </w:p>
    <w:p w14:paraId="091B54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w:t>
      </w:r>
    </w:p>
    <w:p w14:paraId="4ECD1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压铸工序产生的非甲烷总烃执行《大气污染物综合排放标准》(DB32/4041-2021)表1和表3相关标准；熔化、浇铸、抛丸、压铸、打磨处理产生的颗粒物执行《铸造工业大气污染物排放标准》(GB39726-2020)表1和《大气污染物综合排放标准》(DB32/4041-2021)表3相关标准；厂区内非甲烷总烃无组织排放监控点浓度执行《大气污染物综合排放标准》（DB32/4041-2021）表2相关标准；厂区内颗粒物无组织排放监控点浓度执行《铸造工业大气污染物排放标准》(GB39726-2020)表A.1排放限值要求。</w:t>
      </w:r>
    </w:p>
    <w:p w14:paraId="44EA42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4.选用低噪声设备，合理布局并采取有效的减振、隔声、消声等降噪措施，确保厂界噪声达到《工业企业厂界环境噪声排放标准》（GB12348-2008）3类、4类排放标准。</w:t>
      </w:r>
    </w:p>
    <w:p w14:paraId="53B069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5B13E3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BC2BF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003651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5C2AEB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712D9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1.大气污染物（有组织）：（本项目）非甲烷总烃≤0.09吨、颗粒物≤0.3995吨；（全厂区）非甲烷总烃≤0.09吨、颗粒物≤0.3995吨。</w:t>
      </w:r>
    </w:p>
    <w:p w14:paraId="3D4166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562.5吨、COD≤0.1488吨、SS≤0.0954吨、氨氮（生活）≤0.0153吨、总磷（生活）≤0.0019吨、总氮（生活）≤0.0229吨。（全厂）废水排放量≤818.5吨、COD≤0.2448吨、SS≤0.1574吨、氨氮（生活）≤0.0223吨、总磷（生活）≤0.0032吨、总氮（生活）≤0.0329吨。</w:t>
      </w:r>
    </w:p>
    <w:p w14:paraId="6B2EA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w:t>
      </w:r>
      <w:bookmarkStart w:id="0" w:name="_GoBack"/>
      <w:bookmarkEnd w:id="0"/>
      <w:r>
        <w:rPr>
          <w:rFonts w:hint="default" w:ascii="Times New Roman" w:hAnsi="Times New Roman" w:eastAsia="仿宋" w:cs="Times New Roman"/>
          <w:sz w:val="32"/>
          <w:szCs w:val="32"/>
          <w:lang w:val="en-US" w:eastAsia="zh-CN"/>
        </w:rPr>
        <w:t>.固体废物：全部综合利用或安全处置。</w:t>
      </w:r>
    </w:p>
    <w:p w14:paraId="683DA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44C95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4B30FB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05826F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（项目代码：2412-320214-89-01-509445）</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50F3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D0E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A75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C38A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AFB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733A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E21A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D0E8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A3B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B509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466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54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8B1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F26B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C706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60C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106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424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C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0F8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AE0E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370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E23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F4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929C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0E26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5B0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E8C8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45A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773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261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D99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93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A63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B91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10E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36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99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3DEF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023C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A00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2A6F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7B92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880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B6EC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FDEF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83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D384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C731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CF5C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5B8F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F15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5C46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F550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443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37F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98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E49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B4A7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C5C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5DAD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7A7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0E32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9B7C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DA7E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55D9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34F3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39CE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719B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AEA7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297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90CB3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C69B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E7B8A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B2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46B5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00F5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D811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007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0FED2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CB3A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ED0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437D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765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914C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2C2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9766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7FBA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4F18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B838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85F6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EE4E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7C1C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5A1E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5BFD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66CD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A24F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B99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6250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FC66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112F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4EFA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92F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7093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F66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7B04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5CED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771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FED9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8434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D4C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C2A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746C65"/>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E4517B"/>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352</Words>
  <Characters>372</Characters>
  <Lines>18</Lines>
  <Paragraphs>5</Paragraphs>
  <TotalTime>78</TotalTime>
  <ScaleCrop>false</ScaleCrop>
  <LinksUpToDate>false</LinksUpToDate>
  <CharactersWithSpaces>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2026-03-13T03:11:08Z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