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162</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334541EF">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关于无锡深南电路有限公司芯片埋入式</w:t>
      </w:r>
    </w:p>
    <w:p w14:paraId="27C10BED">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模组封装（ECP）智能化建设项目</w:t>
      </w:r>
    </w:p>
    <w:p w14:paraId="7DAD2C3B">
      <w:pPr>
        <w:spacing w:line="600" w:lineRule="exact"/>
        <w:ind w:firstLine="440" w:firstLineChars="100"/>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无锡深南电路有限公司：</w:t>
      </w:r>
    </w:p>
    <w:p w14:paraId="291AC7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新视野环保有限公司编制的《无锡深南电路有限公司芯片埋入式模组封装（ECP）智能化建设项目环境影响报告表》（以下称“报告表”）、环境风险专项分析和南京长三角绿色发展研究院有限公司的技术评估意见（绿院评估〔2025〕566号）等相关材料均悉。经研究，审批意见如下：</w:t>
      </w:r>
    </w:p>
    <w:p w14:paraId="07A7C9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7912CF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本项目性质为扩建，建设地点为无锡市新吴区硕放街道长江东路18号，总投资34500万元，建设无锡深南电路有限公司芯片埋入式模组封装（ECP）智能化建设项目，全厂形成年产封装基板60万m</w:t>
      </w:r>
      <w:bookmarkStart w:id="0" w:name="_GoBack"/>
      <w:r>
        <w:rPr>
          <w:rFonts w:hint="eastAsia" w:ascii="仿宋" w:hAnsi="仿宋" w:eastAsia="仿宋"/>
          <w:sz w:val="32"/>
          <w:szCs w:val="32"/>
          <w:vertAlign w:val="superscript"/>
          <w:lang w:val="en-US" w:eastAsia="zh-CN"/>
        </w:rPr>
        <w:t>2</w:t>
      </w:r>
      <w:bookmarkEnd w:id="0"/>
      <w:r>
        <w:rPr>
          <w:rFonts w:hint="eastAsia" w:ascii="仿宋" w:hAnsi="仿宋" w:eastAsia="仿宋"/>
          <w:sz w:val="32"/>
          <w:szCs w:val="32"/>
          <w:lang w:val="en-US" w:eastAsia="zh-CN"/>
        </w:rPr>
        <w:t>、高端印制电路板50万m</w:t>
      </w:r>
      <w:r>
        <w:rPr>
          <w:rFonts w:hint="eastAsia" w:ascii="仿宋" w:hAnsi="仿宋" w:eastAsia="仿宋"/>
          <w:sz w:val="32"/>
          <w:szCs w:val="32"/>
          <w:vertAlign w:val="superscript"/>
          <w:lang w:val="en-US" w:eastAsia="zh-CN"/>
        </w:rPr>
        <w:t>2</w:t>
      </w:r>
      <w:r>
        <w:rPr>
          <w:rFonts w:hint="eastAsia" w:ascii="仿宋" w:hAnsi="仿宋" w:eastAsia="仿宋"/>
          <w:sz w:val="32"/>
          <w:szCs w:val="32"/>
          <w:lang w:val="en-US" w:eastAsia="zh-CN"/>
        </w:rPr>
        <w:t>、电子装联产品5000万片、高阶倒装芯片用IC载板40万m</w:t>
      </w:r>
      <w:r>
        <w:rPr>
          <w:rFonts w:hint="eastAsia" w:ascii="仿宋" w:hAnsi="仿宋" w:eastAsia="仿宋"/>
          <w:sz w:val="32"/>
          <w:szCs w:val="32"/>
          <w:vertAlign w:val="superscript"/>
          <w:lang w:val="en-US" w:eastAsia="zh-CN"/>
        </w:rPr>
        <w:t>2</w:t>
      </w:r>
      <w:r>
        <w:rPr>
          <w:rFonts w:hint="eastAsia" w:ascii="仿宋" w:hAnsi="仿宋" w:eastAsia="仿宋"/>
          <w:sz w:val="32"/>
          <w:szCs w:val="32"/>
          <w:lang w:val="en-US" w:eastAsia="zh-CN"/>
        </w:rPr>
        <w:t>和芯片埋入式模组封装产品4万片的生产能力。项目投产后的产品、规模、生产工艺、设备的类型和数量必须符合报告表内容。根据无锡高新区（新吴区）发展和改革委员会《关于认定无锡深南电路有限公司芯片埋入式模组封装（ECP）智能化建设项目属于战略性新兴产业类别的复函》（锡新发改函〔2025〕9号），该项目属于江苏省太湖流域战略性新兴产业类别。</w:t>
      </w:r>
    </w:p>
    <w:p w14:paraId="03EDE2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629AC7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35945A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化学镍金（内协）产生的含镍废水经现有“含氮、磷、镍、银废水处理系统”处理，达到回用水标准后全部回用于生产，不得外排；化学镍金（内协）产生的含氰废水经现有含氰废水处理系统处理后与填孔电镀废水、挂具退镀废水一并经一般清洗（含铜）废水处理系统处理后，达到与德硕水务签订的《污水处理及再生水供应协议》规定中标准后，接入德硕水务进行再生水处理，再生水回用于本公司及周边企业；其他综合废水、纯水制备系统反冲洗废水经现有综合废水处理系统处理后与冷却塔排水一并达到《电子工业水污染物排放标准》（GB 39731-2020）表1中相关标准（其中氨氮、总氮、总铜执行与硕放水处理厂接管协议标准，分别为35mg/L、45mg/L、0.3mg/L）后，接入硕放水处理厂集中处理。该项目利用原有的三个污水排放口，不得增设排污口。生产废水排污口按照国家规范安装流量计、COD、氨氮、总氮、总磷在线监控系统并与新吴生态环境部门联网。</w:t>
      </w:r>
    </w:p>
    <w:p w14:paraId="37C241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钻靶铣边、控深铣、激光烧靶、激光外形、等离子去钻污、CCD钻孔、CCD外形、ABF激光钻孔、激光钻孔废气经有效收集，采用滤板除尘装置处理后，尾气通过35米高排气筒FQ3-1排放；棕化、LDD棕化、水平去钻污、VCP填孔、挂具退镀、图形前处理贴膜、后处理酸洗废气经有效收集，分别采用2套二级碱液喷淋塔处理后，尾气分别通过35米高排气筒FQ3-2、FQ3-3排放；图形蚀刻废气经有效收集，采用二级碱液喷淋塔处理后，尾气通过35米高排气筒FQ3-4排放；阻焊表涂（内协）废气经有效收集，采用“二级水喷淋+除雾器+活性炭吸附装置”处理后，尾气通过35米高排气筒FQ4-14排放；化学镍金废气（内协）经有效收集，采用二级碱液喷淋塔处理后，尾气通过35米高排气筒FQ4-12排放；污水处理站废气经有效收集，采用二级碱液喷淋塔处理后，尾气通过35米高排气筒FQ7-2排放。</w:t>
      </w:r>
    </w:p>
    <w:p w14:paraId="139ECA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本项目产生的颗粒物、硫酸雾、氯化氢、氰化氢执行《大气污染物综合排放标准》（DB 32/4041-2021）表1和表3相关标准，非甲烷总烃执行《印刷工业大气污染物排放标准》（DB 32/4438-2022）表1相关标准；污水处理站氨、硫化氢、臭气浓度执行《恶臭污染物排放标准》（GB14554-93）表1和表2相关标准；厂区内非甲烷总烃无组织排放监控点浓度执行《印刷工业大气污染物排放标准》（DB 32/4438-2022）表3标准。</w:t>
      </w:r>
    </w:p>
    <w:p w14:paraId="3CD7B1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本项目共设排气筒7根，其中FQ3-1、FQ3-2、FQ3-3、FQ3-4排气筒为本次新增，其余3根均依托现有。</w:t>
      </w:r>
    </w:p>
    <w:p w14:paraId="412C30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338055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1E67A2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2E0FD1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专项分析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11BA09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2C8439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8.根据报告表推荐，全厂W3B车间外周边100米、清洁生产中心外周边100米范围，不得新建居民住宅区、学校、医院等环境保护敏感点。</w:t>
      </w:r>
    </w:p>
    <w:p w14:paraId="731566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6243C8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1.323吨、硫酸雾≤1.8994吨、氯化氢≤0.2652吨；（全厂）颗粒物≤5.7588吨、硫酸雾≤14.4809吨、非甲烷总烃≤14.586吨、氯化氢≤16.2773吨、氰化氢≤0.0416吨、氨≤1.051吨、二氧化硫≤0.4271吨、氮氧化物≤10.0309吨、锡及其化合物≤0.264吨、硫化氢≤0.005吨、油烟≤0.025吨。</w:t>
      </w:r>
    </w:p>
    <w:p w14:paraId="3CB9C5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德硕水务考核量）：（本项目）废水排放量≤73000吨，COD≤1.825吨、SS≤0.73吨、总铜≤0.011吨；（全厂）废水排放量≤3358000吨、COD≤162.425吨、SS≤33.58吨、总铜≤0.9943吨、总氰化物≤0.0048吨、总氮≤0.0584吨。</w:t>
      </w:r>
    </w:p>
    <w:p w14:paraId="5B30E2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水污染物（接管硕放厂考核量/外排量）：（WS-03）（本项目）废水排放量≤506786吨/506786吨，COD≤216.6786吨/6.7909吨、SS≤167.6518吨/1.5204吨、氨氮≤16.6075吨/0.2585吨、总氮≤18.98吨/2.3515吨、总磷≤2.847吨/0.0699吨、总铜≤0.1424吨/0.0127吨；（全厂）废水排放量≤1236786吨/1236786吨、COD≤508.3866吨/16.5729吨、SS≤360.3718吨/3.7104吨、氨氮≤41.6027吨/0.6308吨、总氮≤56.4728吨/5.7387吨、总磷≤5.9714吨/0.1707吨、总铜≤0.3299吨/0.0309吨。</w:t>
      </w:r>
    </w:p>
    <w:p w14:paraId="0A8F03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水污染物（接管硕放厂考核量/外排量）：（WS-01、WS-02）：（全厂）废水排放量≤465400吨/465400吨、COD≤186.16吨/6.2364吨、SS≤69.81吨/1.3962吨、氨氮（生活）≤16.29吨/0.2374吨、总氮（生活）≤18.62吨/2.1595吨、总磷（生活）≤2.327吨/0.0642吨、动植物油≤4.654吨/0.0856吨。</w:t>
      </w:r>
    </w:p>
    <w:p w14:paraId="6F5D15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3FD4CF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698132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63072D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六、开展内部污染防治设施（污水处理等环境治理设施）安全风险辨识，健全污染防治设施稳定运行和管理责任制度，严格依据标准规范建设环境治理设施，确保环境治理设施安全、稳定、有效运行。</w:t>
      </w:r>
    </w:p>
    <w:p w14:paraId="5019F4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（项目代码：2410-320214-89-02-764679）</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29</w:t>
      </w:r>
      <w:r>
        <w:rPr>
          <w:rFonts w:hint="eastAsia" w:ascii="Times New Roman" w:hAnsi="Times New Roman" w:eastAsia="仿宋"/>
          <w:sz w:val="32"/>
          <w:szCs w:val="32"/>
        </w:rPr>
        <w:t>日</w:t>
      </w:r>
    </w:p>
    <w:p w14:paraId="35B6AA1D">
      <w:pPr>
        <w:spacing w:line="560" w:lineRule="exact"/>
        <w:jc w:val="left"/>
        <w:rPr>
          <w:rFonts w:hint="eastAsia" w:ascii="Times New Roman" w:hAnsi="Times New Roman" w:eastAsia="仿宋"/>
          <w:sz w:val="32"/>
          <w:szCs w:val="32"/>
        </w:rPr>
      </w:pPr>
    </w:p>
    <w:p w14:paraId="7414E720">
      <w:pPr>
        <w:spacing w:line="560" w:lineRule="exact"/>
        <w:jc w:val="left"/>
        <w:rPr>
          <w:rFonts w:hint="eastAsia" w:ascii="Times New Roman" w:hAnsi="Times New Roman" w:eastAsia="仿宋"/>
          <w:sz w:val="32"/>
          <w:szCs w:val="32"/>
        </w:rPr>
      </w:pPr>
    </w:p>
    <w:p w14:paraId="082B7205">
      <w:pPr>
        <w:spacing w:line="560" w:lineRule="exact"/>
        <w:jc w:val="left"/>
        <w:rPr>
          <w:rFonts w:hint="eastAsia" w:ascii="Times New Roman" w:hAnsi="Times New Roman" w:eastAsia="仿宋"/>
          <w:sz w:val="32"/>
          <w:szCs w:val="32"/>
        </w:rPr>
      </w:pPr>
    </w:p>
    <w:p w14:paraId="38D6A2F1">
      <w:pPr>
        <w:spacing w:line="560" w:lineRule="exact"/>
        <w:jc w:val="left"/>
        <w:rPr>
          <w:rFonts w:hint="eastAsia" w:ascii="Times New Roman" w:hAnsi="Times New Roman" w:eastAsia="仿宋"/>
          <w:sz w:val="32"/>
          <w:szCs w:val="32"/>
        </w:rPr>
      </w:pPr>
    </w:p>
    <w:p w14:paraId="1D9871A8">
      <w:pPr>
        <w:spacing w:line="560" w:lineRule="exact"/>
        <w:jc w:val="left"/>
        <w:rPr>
          <w:rFonts w:hint="eastAsia" w:ascii="Times New Roman" w:hAnsi="Times New Roman" w:eastAsia="仿宋"/>
          <w:sz w:val="32"/>
          <w:szCs w:val="32"/>
        </w:rPr>
      </w:pPr>
    </w:p>
    <w:p w14:paraId="0EA56FB8">
      <w:pPr>
        <w:spacing w:line="560" w:lineRule="exact"/>
        <w:jc w:val="left"/>
        <w:rPr>
          <w:rFonts w:hint="eastAsia" w:ascii="Times New Roman" w:hAnsi="Times New Roman" w:eastAsia="仿宋"/>
          <w:sz w:val="32"/>
          <w:szCs w:val="32"/>
        </w:rPr>
      </w:pPr>
    </w:p>
    <w:p w14:paraId="333EE7B6">
      <w:pPr>
        <w:spacing w:line="560" w:lineRule="exact"/>
        <w:jc w:val="left"/>
        <w:rPr>
          <w:rFonts w:hint="eastAsia" w:ascii="Times New Roman" w:hAnsi="Times New Roman" w:eastAsia="仿宋"/>
          <w:sz w:val="32"/>
          <w:szCs w:val="32"/>
        </w:rPr>
      </w:pPr>
    </w:p>
    <w:p w14:paraId="5C32FE43">
      <w:pPr>
        <w:spacing w:line="560" w:lineRule="exact"/>
        <w:jc w:val="left"/>
        <w:rPr>
          <w:rFonts w:hint="eastAsia" w:ascii="Times New Roman" w:hAnsi="Times New Roman" w:eastAsia="仿宋"/>
          <w:sz w:val="32"/>
          <w:szCs w:val="32"/>
        </w:rPr>
      </w:pPr>
    </w:p>
    <w:p w14:paraId="6CBD9161">
      <w:pPr>
        <w:spacing w:line="560" w:lineRule="exact"/>
        <w:jc w:val="left"/>
        <w:rPr>
          <w:rFonts w:hint="eastAsia" w:ascii="Times New Roman" w:hAnsi="Times New Roman" w:eastAsia="仿宋"/>
          <w:sz w:val="32"/>
          <w:szCs w:val="32"/>
        </w:rPr>
      </w:pPr>
    </w:p>
    <w:p w14:paraId="464FE389">
      <w:pPr>
        <w:spacing w:line="560" w:lineRule="exact"/>
        <w:jc w:val="left"/>
        <w:rPr>
          <w:rFonts w:hint="eastAsia" w:ascii="Times New Roman" w:hAnsi="Times New Roman" w:eastAsia="仿宋"/>
          <w:sz w:val="32"/>
          <w:szCs w:val="32"/>
        </w:rPr>
      </w:pPr>
    </w:p>
    <w:p w14:paraId="5979673D">
      <w:pPr>
        <w:spacing w:line="560" w:lineRule="exact"/>
        <w:jc w:val="left"/>
        <w:rPr>
          <w:rFonts w:hint="eastAsia" w:ascii="Times New Roman" w:hAnsi="Times New Roman" w:eastAsia="仿宋"/>
          <w:sz w:val="32"/>
          <w:szCs w:val="32"/>
        </w:rPr>
      </w:pPr>
    </w:p>
    <w:p w14:paraId="5027F2D0">
      <w:pPr>
        <w:spacing w:line="560" w:lineRule="exact"/>
        <w:jc w:val="left"/>
        <w:rPr>
          <w:rFonts w:hint="eastAsia" w:ascii="Times New Roman" w:hAnsi="Times New Roman" w:eastAsia="仿宋"/>
          <w:sz w:val="32"/>
          <w:szCs w:val="32"/>
        </w:rPr>
      </w:pPr>
    </w:p>
    <w:p w14:paraId="20A28716">
      <w:pPr>
        <w:spacing w:line="560" w:lineRule="exact"/>
        <w:jc w:val="left"/>
        <w:rPr>
          <w:rFonts w:hint="eastAsia" w:ascii="Times New Roman" w:hAnsi="Times New Roman" w:eastAsia="仿宋"/>
          <w:sz w:val="32"/>
          <w:szCs w:val="32"/>
        </w:rPr>
      </w:pPr>
    </w:p>
    <w:p w14:paraId="0D2953A4">
      <w:pPr>
        <w:spacing w:line="560" w:lineRule="exact"/>
        <w:jc w:val="left"/>
        <w:rPr>
          <w:rFonts w:hint="eastAsia" w:ascii="Times New Roman" w:hAnsi="Times New Roman" w:eastAsia="仿宋"/>
          <w:sz w:val="32"/>
          <w:szCs w:val="32"/>
        </w:rPr>
      </w:pPr>
    </w:p>
    <w:p w14:paraId="2CDBE21E">
      <w:pPr>
        <w:spacing w:line="560" w:lineRule="exact"/>
        <w:jc w:val="left"/>
        <w:rPr>
          <w:rFonts w:hint="eastAsia" w:ascii="Times New Roman" w:hAnsi="Times New Roman" w:eastAsia="仿宋"/>
          <w:sz w:val="32"/>
          <w:szCs w:val="32"/>
        </w:rPr>
      </w:pPr>
    </w:p>
    <w:p w14:paraId="575FF94D">
      <w:pPr>
        <w:spacing w:line="560" w:lineRule="exact"/>
        <w:jc w:val="left"/>
        <w:rPr>
          <w:rFonts w:hint="eastAsia" w:ascii="Times New Roman" w:hAnsi="Times New Roman" w:eastAsia="仿宋"/>
          <w:sz w:val="32"/>
          <w:szCs w:val="32"/>
        </w:rPr>
      </w:pPr>
    </w:p>
    <w:p w14:paraId="1C68D937">
      <w:pPr>
        <w:spacing w:line="560" w:lineRule="exact"/>
        <w:jc w:val="left"/>
        <w:rPr>
          <w:rFonts w:hint="eastAsia" w:ascii="Times New Roman" w:hAnsi="Times New Roman" w:eastAsia="仿宋"/>
          <w:sz w:val="32"/>
          <w:szCs w:val="32"/>
        </w:rPr>
      </w:pPr>
    </w:p>
    <w:p w14:paraId="2BEE9765">
      <w:pPr>
        <w:spacing w:line="560" w:lineRule="exact"/>
        <w:jc w:val="left"/>
        <w:rPr>
          <w:rFonts w:hint="eastAsia" w:ascii="Times New Roman" w:hAnsi="Times New Roman" w:eastAsia="仿宋"/>
          <w:sz w:val="32"/>
          <w:szCs w:val="32"/>
        </w:rPr>
      </w:pPr>
    </w:p>
    <w:p w14:paraId="7A7FCD63">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C4B7E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29</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汉仪仿宋简">
    <w:panose1 w:val="02010600000101010101"/>
    <w:charset w:val="80"/>
    <w:family w:val="auto"/>
    <w:pitch w:val="default"/>
    <w:sig w:usb0="800002BF" w:usb1="184F6C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6E31456"/>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4364E6"/>
    <w:rsid w:val="6062751D"/>
    <w:rsid w:val="607C5BB9"/>
    <w:rsid w:val="60B50365"/>
    <w:rsid w:val="60EE4449"/>
    <w:rsid w:val="61450A94"/>
    <w:rsid w:val="61A72B76"/>
    <w:rsid w:val="61B01959"/>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3D777D"/>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2239</Words>
  <Characters>2490</Characters>
  <Lines>18</Lines>
  <Paragraphs>5</Paragraphs>
  <TotalTime>27</TotalTime>
  <ScaleCrop>false</ScaleCrop>
  <LinksUpToDate>false</LinksUpToDate>
  <CharactersWithSpaces>2569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2025-09-29T01:36:21Z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