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155</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43B3E6F5">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关于无锡鸿赫尼斯科技有限公司年产智能</w:t>
      </w:r>
    </w:p>
    <w:p w14:paraId="5BF252B2">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机器人及零部件1万套、清洁环卫设备</w:t>
      </w:r>
    </w:p>
    <w:p w14:paraId="473D50B8">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及零部件1万套、中空箱体和外壳</w:t>
      </w:r>
    </w:p>
    <w:p w14:paraId="6D9D61F9">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等塑料（滚塑）制品2万套项目</w:t>
      </w:r>
    </w:p>
    <w:p w14:paraId="7DAD2C3B">
      <w:pPr>
        <w:spacing w:line="600" w:lineRule="exact"/>
        <w:ind w:firstLine="440" w:firstLineChars="100"/>
        <w:jc w:val="center"/>
        <w:rPr>
          <w:rFonts w:ascii="方正小标宋简体" w:eastAsia="方正小标宋简体"/>
          <w:sz w:val="44"/>
          <w:szCs w:val="44"/>
        </w:rPr>
      </w:pPr>
      <w:r>
        <w:rPr>
          <w:rFonts w:hint="eastAsia" w:ascii="方正小标宋简体" w:eastAsia="方正小标宋简体"/>
          <w:sz w:val="44"/>
          <w:szCs w:val="44"/>
        </w:rPr>
        <w:t>环境影响报告表的批复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无锡鸿赫尼斯科技有限公司：</w:t>
      </w:r>
    </w:p>
    <w:p w14:paraId="26127B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无锡鸿赫尼斯科技有限公司年产智能机器人及零部件1万套、清洁环卫设备及零部件1万套、中空箱体和外壳等塑料（滚塑）制品2万套项目环境影响报告表》（以下称“报告表”）等相关材料均悉。经研究，审批意见如下：</w:t>
      </w:r>
    </w:p>
    <w:p w14:paraId="0601DC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058EB5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硕放街道新东安路20号，总投资2000万元，建设年产智能机器人及零部件1万套、清洁环卫设备及零部件1万套、中空箱体和外壳等塑料（滚塑）制品2万套项目。项目投产后的产品、规模、生产工艺、设备的类型和数量必须符合报告表内容。</w:t>
      </w:r>
    </w:p>
    <w:p w14:paraId="05670D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42366C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524A77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硕放水处理厂集中处理。本项目只允许设置一个污水排放口。</w:t>
      </w:r>
    </w:p>
    <w:p w14:paraId="19BFBB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3.进一步优化废气处理方案，严格控制无组织废气排放，确保各类工艺废气的收集治理措施、处理效率及排气筒高度等均达到报告表提出的要求，各工艺废气分别经对应排气筒排放。</w:t>
      </w:r>
    </w:p>
    <w:p w14:paraId="7C6AED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滚塑废气经有效收集，采用二级活性炭吸附装置处理；天然气燃烧废气经有效收集，尾气一并通过15米高排气筒FQ-01排放。</w:t>
      </w:r>
    </w:p>
    <w:p w14:paraId="6EB976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滚塑工序产生的非甲烷总烃排放执行执行《合成树脂工业污染物排放标准》（GB31572-2015，含2024年修改单）表5中大气污染物特别排放限值、表9中的企业边界大气污染物浓度限值和江苏省《大气污染物综合排放标准》（DB32/4041-2021）表2中厂区内VOCs无组织排放限值；天然气燃烧产生的颗粒物、二氧化硫、氮氧化物执行江苏省地方标准《工业炉窑大气污染物排放标准》（DB32/3728-2020）表1中常规大气污染物排放限值、表3中工业炉窑无组织排放总悬浮颗粒物浓度限值和《大气污染物综合排放标准》（DB32/4041-2021）表3中单位边界大气污染物排放监控浓度限值。</w:t>
      </w:r>
    </w:p>
    <w:p w14:paraId="5E1A12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本项目共设排气筒1根。</w:t>
      </w:r>
    </w:p>
    <w:p w14:paraId="5D8A0F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4.选用低噪声设备，合理布局并采取有效的减振、隔声、消声等降噪措施，确保厂界噪声达到《工业企业厂界环境噪声排放标准》（GB12348-2008）3类排放标准。</w:t>
      </w:r>
    </w:p>
    <w:p w14:paraId="2E8D2B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省生态环境厅关于进一步完善一般工业固体废物环境管理的通知》（苏环办〔2023〕327号）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68D244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5B95BF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4701AF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8.根据报告表推荐，全厂生产车间外周边50米范围，不得新建居民住宅区、学校、医院等环境保护敏感点。</w:t>
      </w:r>
    </w:p>
    <w:p w14:paraId="64B7AB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64E9CD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1.大气污染物：（有组织）颗粒物≤0.108吨、二氧化硫≤0.018吨、氮氧化物≤0.7142吨、非甲烷总烃≤0.0189吨。</w:t>
      </w:r>
    </w:p>
    <w:p w14:paraId="037ED3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2.水污染物（接管考核量）：废水排放量≤382.5吨；COD≤0.153吨、SS≤0.096吨、氨氮（生活）≤0.015吨、总磷（生活）≤0.002吨、总氮（生活）≤0.023吨。</w:t>
      </w:r>
    </w:p>
    <w:p w14:paraId="17730D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386E7B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272517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2A4F70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（项目代码：2501-320214-89-01-726760）</w:t>
      </w:r>
      <w:bookmarkStart w:id="0" w:name="_GoBack"/>
      <w:bookmarkEnd w:id="0"/>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18</w:t>
      </w:r>
      <w:r>
        <w:rPr>
          <w:rFonts w:hint="eastAsia" w:ascii="Times New Roman" w:hAnsi="Times New Roman" w:eastAsia="仿宋"/>
          <w:sz w:val="32"/>
          <w:szCs w:val="32"/>
        </w:rPr>
        <w:t>日</w:t>
      </w:r>
    </w:p>
    <w:p w14:paraId="35B6AA1D">
      <w:pPr>
        <w:spacing w:line="560" w:lineRule="exact"/>
        <w:jc w:val="left"/>
        <w:rPr>
          <w:rFonts w:hint="eastAsia" w:ascii="Times New Roman" w:hAnsi="Times New Roman" w:eastAsia="仿宋"/>
          <w:sz w:val="32"/>
          <w:szCs w:val="32"/>
        </w:rPr>
      </w:pPr>
    </w:p>
    <w:p w14:paraId="7414E720">
      <w:pPr>
        <w:spacing w:line="560" w:lineRule="exact"/>
        <w:jc w:val="left"/>
        <w:rPr>
          <w:rFonts w:hint="eastAsia" w:ascii="Times New Roman" w:hAnsi="Times New Roman" w:eastAsia="仿宋"/>
          <w:sz w:val="32"/>
          <w:szCs w:val="32"/>
        </w:rPr>
      </w:pPr>
    </w:p>
    <w:p w14:paraId="082B7205">
      <w:pPr>
        <w:spacing w:line="560" w:lineRule="exact"/>
        <w:jc w:val="left"/>
        <w:rPr>
          <w:rFonts w:hint="eastAsia" w:ascii="Times New Roman" w:hAnsi="Times New Roman" w:eastAsia="仿宋"/>
          <w:sz w:val="32"/>
          <w:szCs w:val="32"/>
        </w:rPr>
      </w:pPr>
    </w:p>
    <w:p w14:paraId="38D6A2F1">
      <w:pPr>
        <w:spacing w:line="560" w:lineRule="exact"/>
        <w:jc w:val="left"/>
        <w:rPr>
          <w:rFonts w:hint="eastAsia" w:ascii="Times New Roman" w:hAnsi="Times New Roman" w:eastAsia="仿宋"/>
          <w:sz w:val="32"/>
          <w:szCs w:val="32"/>
        </w:rPr>
      </w:pPr>
    </w:p>
    <w:p w14:paraId="0D2953A4">
      <w:pPr>
        <w:spacing w:line="560" w:lineRule="exact"/>
        <w:jc w:val="left"/>
        <w:rPr>
          <w:rFonts w:hint="eastAsia" w:ascii="Times New Roman" w:hAnsi="Times New Roman" w:eastAsia="仿宋"/>
          <w:sz w:val="32"/>
          <w:szCs w:val="32"/>
        </w:rPr>
      </w:pPr>
    </w:p>
    <w:p w14:paraId="2CDBE21E">
      <w:pPr>
        <w:spacing w:line="560" w:lineRule="exact"/>
        <w:jc w:val="left"/>
        <w:rPr>
          <w:rFonts w:hint="eastAsia" w:ascii="Times New Roman" w:hAnsi="Times New Roman" w:eastAsia="仿宋"/>
          <w:sz w:val="32"/>
          <w:szCs w:val="32"/>
        </w:rPr>
      </w:pPr>
    </w:p>
    <w:p w14:paraId="575FF94D">
      <w:pPr>
        <w:spacing w:line="560" w:lineRule="exact"/>
        <w:jc w:val="left"/>
        <w:rPr>
          <w:rFonts w:hint="eastAsia" w:ascii="Times New Roman" w:hAnsi="Times New Roman" w:eastAsia="仿宋"/>
          <w:sz w:val="32"/>
          <w:szCs w:val="32"/>
        </w:rPr>
      </w:pPr>
    </w:p>
    <w:p w14:paraId="1C68D937">
      <w:pPr>
        <w:spacing w:line="560" w:lineRule="exact"/>
        <w:jc w:val="left"/>
        <w:rPr>
          <w:rFonts w:hint="eastAsia" w:ascii="Times New Roman" w:hAnsi="Times New Roman" w:eastAsia="仿宋"/>
          <w:sz w:val="32"/>
          <w:szCs w:val="32"/>
        </w:rPr>
      </w:pPr>
    </w:p>
    <w:p w14:paraId="2BEE9765">
      <w:pPr>
        <w:spacing w:line="560" w:lineRule="exact"/>
        <w:jc w:val="left"/>
        <w:rPr>
          <w:rFonts w:hint="eastAsia" w:ascii="Times New Roman" w:hAnsi="Times New Roman" w:eastAsia="仿宋"/>
          <w:sz w:val="32"/>
          <w:szCs w:val="32"/>
        </w:rPr>
      </w:pPr>
    </w:p>
    <w:p w14:paraId="5D2591DD">
      <w:pPr>
        <w:spacing w:line="560" w:lineRule="exact"/>
        <w:jc w:val="left"/>
        <w:rPr>
          <w:rFonts w:hint="eastAsia" w:ascii="Times New Roman" w:hAnsi="Times New Roman" w:eastAsia="仿宋"/>
          <w:sz w:val="32"/>
          <w:szCs w:val="32"/>
        </w:rPr>
      </w:pPr>
    </w:p>
    <w:p w14:paraId="6E83B9EE">
      <w:pPr>
        <w:spacing w:line="560" w:lineRule="exact"/>
        <w:jc w:val="left"/>
        <w:rPr>
          <w:rFonts w:hint="eastAsia" w:ascii="Times New Roman" w:hAnsi="Times New Roman" w:eastAsia="仿宋"/>
          <w:sz w:val="32"/>
          <w:szCs w:val="32"/>
        </w:rPr>
      </w:pPr>
    </w:p>
    <w:p w14:paraId="7DA83945">
      <w:pPr>
        <w:spacing w:line="560" w:lineRule="exact"/>
        <w:jc w:val="left"/>
        <w:rPr>
          <w:rFonts w:hint="eastAsia" w:ascii="Times New Roman" w:hAnsi="Times New Roman" w:eastAsia="仿宋"/>
          <w:sz w:val="32"/>
          <w:szCs w:val="32"/>
        </w:rPr>
      </w:pPr>
    </w:p>
    <w:p w14:paraId="4EBA3362">
      <w:pPr>
        <w:spacing w:line="560" w:lineRule="exact"/>
        <w:jc w:val="left"/>
        <w:rPr>
          <w:rFonts w:hint="eastAsia" w:ascii="Times New Roman" w:hAnsi="Times New Roman" w:eastAsia="仿宋"/>
          <w:sz w:val="32"/>
          <w:szCs w:val="32"/>
        </w:rPr>
      </w:pPr>
    </w:p>
    <w:p w14:paraId="517E4B9E">
      <w:pPr>
        <w:spacing w:line="560" w:lineRule="exact"/>
        <w:jc w:val="left"/>
        <w:rPr>
          <w:rFonts w:hint="eastAsia" w:ascii="Times New Roman" w:hAnsi="Times New Roman" w:eastAsia="仿宋"/>
          <w:sz w:val="32"/>
          <w:szCs w:val="32"/>
        </w:rPr>
      </w:pPr>
    </w:p>
    <w:p w14:paraId="12E3D810">
      <w:pPr>
        <w:spacing w:line="560" w:lineRule="exact"/>
        <w:jc w:val="left"/>
        <w:rPr>
          <w:rFonts w:hint="eastAsia" w:ascii="Times New Roman" w:hAnsi="Times New Roman" w:eastAsia="仿宋"/>
          <w:sz w:val="32"/>
          <w:szCs w:val="32"/>
        </w:rPr>
      </w:pPr>
    </w:p>
    <w:p w14:paraId="0E80D01B">
      <w:pPr>
        <w:spacing w:line="560" w:lineRule="exact"/>
        <w:jc w:val="left"/>
        <w:rPr>
          <w:rFonts w:hint="eastAsia" w:ascii="Times New Roman" w:hAnsi="Times New Roman" w:eastAsia="仿宋"/>
          <w:sz w:val="32"/>
          <w:szCs w:val="32"/>
        </w:rPr>
      </w:pPr>
    </w:p>
    <w:p w14:paraId="4767E212">
      <w:pPr>
        <w:spacing w:line="560" w:lineRule="exact"/>
        <w:jc w:val="left"/>
        <w:rPr>
          <w:rFonts w:hint="eastAsia" w:ascii="Times New Roman" w:hAnsi="Times New Roman" w:eastAsia="仿宋"/>
          <w:sz w:val="32"/>
          <w:szCs w:val="32"/>
        </w:rPr>
      </w:pPr>
    </w:p>
    <w:p w14:paraId="43126471">
      <w:pPr>
        <w:spacing w:line="560" w:lineRule="exact"/>
        <w:jc w:val="left"/>
        <w:rPr>
          <w:rFonts w:hint="eastAsia" w:ascii="Times New Roman" w:hAnsi="Times New Roman" w:eastAsia="仿宋"/>
          <w:sz w:val="32"/>
          <w:szCs w:val="32"/>
        </w:rPr>
      </w:pPr>
    </w:p>
    <w:p w14:paraId="0C63F130">
      <w:pPr>
        <w:spacing w:line="560" w:lineRule="exact"/>
        <w:jc w:val="left"/>
        <w:rPr>
          <w:rFonts w:hint="eastAsia" w:ascii="Times New Roman" w:hAnsi="Times New Roman" w:eastAsia="仿宋"/>
          <w:sz w:val="32"/>
          <w:szCs w:val="32"/>
        </w:rPr>
      </w:pPr>
    </w:p>
    <w:p w14:paraId="3D29181F">
      <w:pPr>
        <w:spacing w:line="560" w:lineRule="exact"/>
        <w:jc w:val="left"/>
        <w:rPr>
          <w:rFonts w:hint="eastAsia" w:ascii="Times New Roman" w:hAnsi="Times New Roman" w:eastAsia="仿宋"/>
          <w:sz w:val="32"/>
          <w:szCs w:val="32"/>
        </w:rPr>
      </w:pPr>
    </w:p>
    <w:p w14:paraId="5B1623E4">
      <w:pPr>
        <w:spacing w:line="560" w:lineRule="exact"/>
        <w:jc w:val="left"/>
        <w:rPr>
          <w:rFonts w:hint="eastAsia" w:ascii="Times New Roman" w:hAnsi="Times New Roman" w:eastAsia="仿宋"/>
          <w:sz w:val="32"/>
          <w:szCs w:val="32"/>
        </w:rPr>
      </w:pPr>
    </w:p>
    <w:p w14:paraId="262D60EA">
      <w:pPr>
        <w:spacing w:line="560" w:lineRule="exact"/>
        <w:jc w:val="left"/>
        <w:rPr>
          <w:rFonts w:hint="eastAsia" w:ascii="Times New Roman" w:hAnsi="Times New Roman" w:eastAsia="仿宋"/>
          <w:sz w:val="32"/>
          <w:szCs w:val="32"/>
        </w:rPr>
      </w:pPr>
    </w:p>
    <w:p w14:paraId="2AE11EDB">
      <w:pPr>
        <w:spacing w:line="560" w:lineRule="exact"/>
        <w:jc w:val="left"/>
        <w:rPr>
          <w:rFonts w:hint="eastAsia" w:ascii="Times New Roman" w:hAnsi="Times New Roman" w:eastAsia="仿宋"/>
          <w:sz w:val="32"/>
          <w:szCs w:val="32"/>
        </w:rPr>
      </w:pPr>
    </w:p>
    <w:p w14:paraId="5BA1D12A">
      <w:pPr>
        <w:spacing w:line="560" w:lineRule="exact"/>
        <w:jc w:val="left"/>
        <w:rPr>
          <w:rFonts w:hint="eastAsia" w:ascii="Times New Roman" w:hAnsi="Times New Roman" w:eastAsia="仿宋"/>
          <w:sz w:val="32"/>
          <w:szCs w:val="32"/>
        </w:rPr>
      </w:pPr>
    </w:p>
    <w:p w14:paraId="30F4325A">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6EC2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18</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E20369"/>
    <w:rsid w:val="0CEB5331"/>
    <w:rsid w:val="0D09709E"/>
    <w:rsid w:val="0D97197D"/>
    <w:rsid w:val="0DA84D74"/>
    <w:rsid w:val="0DAA59FD"/>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701E8C"/>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C71187"/>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62751D"/>
    <w:rsid w:val="607C5BB9"/>
    <w:rsid w:val="60B50365"/>
    <w:rsid w:val="60EE4449"/>
    <w:rsid w:val="61450A94"/>
    <w:rsid w:val="61A72B76"/>
    <w:rsid w:val="61B01959"/>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500</Words>
  <Characters>534</Characters>
  <Lines>18</Lines>
  <Paragraphs>5</Paragraphs>
  <TotalTime>22</TotalTime>
  <ScaleCrop>false</ScaleCrop>
  <LinksUpToDate>false</LinksUpToDate>
  <CharactersWithSpaces>534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2025-09-18T06:56:24Z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