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748FD">
      <w:pPr>
        <w:ind w:firstLine="720"/>
        <w:rPr>
          <w:rFonts w:eastAsia="仿宋_GB2312"/>
          <w:color w:val="auto"/>
          <w:sz w:val="36"/>
          <w:szCs w:val="36"/>
          <w:highlight w:val="none"/>
        </w:rPr>
      </w:pPr>
      <w:r>
        <w:rPr>
          <w:rFonts w:hint="eastAsia" w:eastAsia="仿宋_GB2312"/>
          <w:color w:val="auto"/>
          <w:sz w:val="36"/>
          <w:szCs w:val="36"/>
          <w:highlight w:val="none"/>
        </w:rPr>
        <w:t xml:space="preserve"> </w:t>
      </w:r>
      <w:r>
        <w:rPr>
          <w:rFonts w:eastAsia="仿宋_GB2312"/>
          <w:color w:val="auto"/>
          <w:sz w:val="36"/>
          <w:szCs w:val="36"/>
          <w:highlight w:val="none"/>
        </w:rPr>
        <w:t xml:space="preserve">  </w:t>
      </w:r>
    </w:p>
    <w:p w14:paraId="46D7C6BC">
      <w:pPr>
        <w:ind w:firstLine="720"/>
        <w:rPr>
          <w:rFonts w:eastAsia="仿宋_GB2312"/>
          <w:color w:val="auto"/>
          <w:sz w:val="36"/>
          <w:szCs w:val="36"/>
          <w:highlight w:val="none"/>
        </w:rPr>
      </w:pPr>
    </w:p>
    <w:p w14:paraId="5EEFF64F">
      <w:pPr>
        <w:ind w:firstLine="720"/>
        <w:rPr>
          <w:rFonts w:eastAsia="仿宋_GB2312"/>
          <w:color w:val="auto"/>
          <w:sz w:val="36"/>
          <w:szCs w:val="36"/>
          <w:highlight w:val="none"/>
        </w:rPr>
      </w:pPr>
    </w:p>
    <w:p w14:paraId="36C91C1A">
      <w:pPr>
        <w:ind w:firstLine="720"/>
        <w:rPr>
          <w:rFonts w:eastAsia="仿宋_GB2312"/>
          <w:color w:val="auto"/>
          <w:sz w:val="36"/>
          <w:szCs w:val="36"/>
          <w:highlight w:val="none"/>
        </w:rPr>
      </w:pPr>
    </w:p>
    <w:p w14:paraId="5C47DE65">
      <w:pPr>
        <w:ind w:firstLine="720"/>
        <w:rPr>
          <w:rFonts w:eastAsia="仿宋_GB2312"/>
          <w:color w:val="auto"/>
          <w:sz w:val="36"/>
          <w:szCs w:val="36"/>
          <w:highlight w:val="none"/>
        </w:rPr>
      </w:pPr>
    </w:p>
    <w:p w14:paraId="4C2BB76F">
      <w:pPr>
        <w:adjustRightInd w:val="0"/>
        <w:snapToGrid w:val="0"/>
        <w:outlineLvl w:val="0"/>
        <w:rPr>
          <w:rFonts w:eastAsia="方正小标宋_GBK"/>
          <w:bCs/>
          <w:color w:val="auto"/>
          <w:sz w:val="72"/>
          <w:szCs w:val="72"/>
          <w:highlight w:val="none"/>
        </w:rPr>
      </w:pPr>
      <w:r>
        <w:rPr>
          <w:rFonts w:hint="eastAsia" w:eastAsia="方正小标宋_GBK"/>
          <w:bCs/>
          <w:color w:val="auto"/>
          <w:sz w:val="72"/>
          <w:szCs w:val="72"/>
          <w:highlight w:val="none"/>
        </w:rPr>
        <w:t>建设项目环境影响报告表</w:t>
      </w:r>
    </w:p>
    <w:p w14:paraId="442908FF">
      <w:pPr>
        <w:adjustRightInd w:val="0"/>
        <w:snapToGrid w:val="0"/>
        <w:spacing w:before="260" w:beforeLines="80"/>
        <w:ind w:firstLine="960"/>
        <w:jc w:val="center"/>
        <w:rPr>
          <w:rFonts w:eastAsia="楷体_GB2312"/>
          <w:bCs/>
          <w:color w:val="auto"/>
          <w:sz w:val="48"/>
          <w:szCs w:val="48"/>
          <w:highlight w:val="none"/>
        </w:rPr>
      </w:pPr>
      <w:r>
        <w:rPr>
          <w:rFonts w:hint="eastAsia" w:eastAsia="楷体_GB2312"/>
          <w:bCs/>
          <w:color w:val="auto"/>
          <w:sz w:val="48"/>
          <w:szCs w:val="48"/>
          <w:highlight w:val="none"/>
        </w:rPr>
        <w:t>（污染影响类）</w:t>
      </w:r>
    </w:p>
    <w:p w14:paraId="754AF926">
      <w:pPr>
        <w:ind w:firstLine="880"/>
        <w:rPr>
          <w:rFonts w:eastAsia="仿宋"/>
          <w:color w:val="auto"/>
          <w:sz w:val="44"/>
          <w:szCs w:val="44"/>
          <w:highlight w:val="none"/>
        </w:rPr>
      </w:pPr>
    </w:p>
    <w:p w14:paraId="584510D4">
      <w:pPr>
        <w:ind w:firstLine="880"/>
        <w:rPr>
          <w:rFonts w:eastAsia="仿宋"/>
          <w:color w:val="auto"/>
          <w:sz w:val="44"/>
          <w:szCs w:val="44"/>
          <w:highlight w:val="none"/>
        </w:rPr>
      </w:pPr>
    </w:p>
    <w:p w14:paraId="6CA36FC0">
      <w:pPr>
        <w:ind w:firstLine="480"/>
        <w:rPr>
          <w:rFonts w:eastAsia="仿宋"/>
          <w:color w:val="auto"/>
          <w:sz w:val="44"/>
          <w:szCs w:val="44"/>
          <w:highlight w:val="none"/>
        </w:rPr>
      </w:pPr>
      <w:r>
        <w:rPr>
          <w:color w:val="auto"/>
          <w:highlight w:val="none"/>
        </w:rPr>
        <mc:AlternateContent>
          <mc:Choice Requires="wps">
            <w:drawing>
              <wp:anchor distT="45720" distB="45720" distL="114300" distR="114300" simplePos="0" relativeHeight="251659264" behindDoc="0" locked="0" layoutInCell="1" allowOverlap="1">
                <wp:simplePos x="0" y="0"/>
                <wp:positionH relativeFrom="column">
                  <wp:posOffset>1343025</wp:posOffset>
                </wp:positionH>
                <wp:positionV relativeFrom="paragraph">
                  <wp:posOffset>198755</wp:posOffset>
                </wp:positionV>
                <wp:extent cx="3549015" cy="480060"/>
                <wp:effectExtent l="0" t="0" r="13335" b="15240"/>
                <wp:wrapNone/>
                <wp:docPr id="1343939237" name="文本框 1343939237"/>
                <wp:cNvGraphicFramePr/>
                <a:graphic xmlns:a="http://schemas.openxmlformats.org/drawingml/2006/main">
                  <a:graphicData uri="http://schemas.microsoft.com/office/word/2010/wordprocessingShape">
                    <wps:wsp>
                      <wps:cNvSpPr txBox="1">
                        <a:spLocks noChangeArrowheads="1"/>
                      </wps:cNvSpPr>
                      <wps:spPr bwMode="auto">
                        <a:xfrm>
                          <a:off x="0" y="0"/>
                          <a:ext cx="3549015" cy="480060"/>
                        </a:xfrm>
                        <a:prstGeom prst="rect">
                          <a:avLst/>
                        </a:prstGeom>
                        <a:solidFill>
                          <a:srgbClr val="FFFFFF"/>
                        </a:solidFill>
                        <a:ln w="9525">
                          <a:noFill/>
                          <a:miter lim="800000"/>
                        </a:ln>
                        <a:effectLst/>
                      </wps:spPr>
                      <wps:txbx>
                        <w:txbxContent>
                          <w:p w14:paraId="4A55E082">
                            <w:r>
                              <w:rPr>
                                <w:rFonts w:hint="eastAsia" w:eastAsia="仿宋_GB2312"/>
                                <w:color w:val="000000"/>
                                <w:sz w:val="36"/>
                                <w:szCs w:val="36"/>
                              </w:rPr>
                              <w:t>年产1200吨服饰辅料玻璃珠项目</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05.75pt;margin-top:15.65pt;height:37.8pt;width:279.45pt;z-index:251659264;mso-width-relative:page;mso-height-relative:page;" fillcolor="#FFFFFF" filled="t" stroked="f" coordsize="21600,21600" o:gfxdata="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NsULtgAAAAKAQAADwAAAAAAAAABACAA&#10;AAAiAAAAZHJzL2Rvd25yZXYueG1sUEsBAhQAFAAAAAgAh07iQIJtSjVGAgAAcgQAAA4AAAAAAAAA&#10;AQAgAAAAJwEAAGRycy9lMm9Eb2MueG1sUEsFBgAAAAAGAAYAWQEAAN8FAAAAAA==&#10;">
                <v:fill on="t" focussize="0,0"/>
                <v:stroke on="f" miterlimit="8" joinstyle="miter"/>
                <v:imagedata o:title=""/>
                <o:lock v:ext="edit" aspectratio="f"/>
                <v:textbox>
                  <w:txbxContent>
                    <w:p w14:paraId="4A55E082">
                      <w:r>
                        <w:rPr>
                          <w:rFonts w:hint="eastAsia" w:eastAsia="仿宋_GB2312"/>
                          <w:color w:val="000000"/>
                          <w:sz w:val="36"/>
                          <w:szCs w:val="36"/>
                        </w:rPr>
                        <w:t>年产1200吨服饰辅料玻璃珠项目</w:t>
                      </w:r>
                    </w:p>
                  </w:txbxContent>
                </v:textbox>
              </v:shape>
            </w:pict>
          </mc:Fallback>
        </mc:AlternateContent>
      </w:r>
    </w:p>
    <w:p w14:paraId="550317AD">
      <w:pPr>
        <w:adjustRightInd w:val="0"/>
        <w:snapToGrid w:val="0"/>
        <w:spacing w:line="288" w:lineRule="auto"/>
        <w:ind w:firstLine="283" w:firstLineChars="118"/>
        <w:rPr>
          <w:rFonts w:eastAsia="仿宋_GB2312"/>
          <w:color w:val="auto"/>
          <w:sz w:val="36"/>
          <w:szCs w:val="36"/>
          <w:highlight w:val="none"/>
          <w:u w:val="singl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1310005</wp:posOffset>
                </wp:positionH>
                <wp:positionV relativeFrom="paragraph">
                  <wp:posOffset>207645</wp:posOffset>
                </wp:positionV>
                <wp:extent cx="3724275" cy="0"/>
                <wp:effectExtent l="0" t="0" r="28575" b="19050"/>
                <wp:wrapNone/>
                <wp:docPr id="1343939236" name="直接箭头连接符 1343939236"/>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03.15pt;margin-top:16.35pt;height:0pt;width:293.25pt;z-index:251660288;mso-width-relative:page;mso-height-relative:page;" filled="f" stroked="t" coordsize="21600,21600" o:gfxdata="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p+V71wAAAAkBAAAPAAAAAAAAAAEAIAAAACIAAABkcnMv&#10;ZG93bnJldi54bWxQSwECFAAUAAAACACHTuJA8EvUXwQCAADeAwAADgAAAAAAAAABACAAAAAmAQAA&#10;ZHJzL2Uyb0RvYy54bWxQSwUGAAAAAAYABgBZAQAAnAUAAAAA&#10;">
                <v:fill on="f" focussize="0,0"/>
                <v:stroke color="#000000" joinstyle="round"/>
                <v:imagedata o:title=""/>
                <o:lock v:ext="edit" aspectratio="f"/>
              </v:shape>
            </w:pict>
          </mc:Fallback>
        </mc:AlternateContent>
      </w:r>
      <w:r>
        <w:rPr>
          <w:rFonts w:hint="eastAsia" w:eastAsia="仿宋_GB2312"/>
          <w:color w:val="auto"/>
          <w:sz w:val="36"/>
          <w:szCs w:val="36"/>
          <w:highlight w:val="none"/>
        </w:rPr>
        <w:t>项目名称：</w:t>
      </w:r>
    </w:p>
    <w:p w14:paraId="72B03CA8">
      <w:pPr>
        <w:adjustRightInd w:val="0"/>
        <w:snapToGrid w:val="0"/>
        <w:spacing w:line="288" w:lineRule="auto"/>
        <w:ind w:firstLine="283" w:firstLineChars="118"/>
        <w:rPr>
          <w:rFonts w:eastAsia="仿宋_GB2312"/>
          <w:color w:val="auto"/>
          <w:sz w:val="36"/>
          <w:szCs w:val="36"/>
          <w:highlight w:val="none"/>
          <w:u w:val="singl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1245870</wp:posOffset>
                </wp:positionH>
                <wp:positionV relativeFrom="paragraph">
                  <wp:posOffset>365760</wp:posOffset>
                </wp:positionV>
                <wp:extent cx="3724275" cy="0"/>
                <wp:effectExtent l="0" t="0" r="28575" b="19050"/>
                <wp:wrapNone/>
                <wp:docPr id="1343939235" name="直接箭头连接符 1343939235"/>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98.1pt;margin-top:28.8pt;height:0pt;width:293.25pt;z-index:251661312;mso-width-relative:page;mso-height-relative:page;" filled="f" stroked="t" coordsize="21600,21600" o:gfxdata="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9AJ0TWAAAACQEAAA8AAAAAAAAAAQAgAAAAIgAAAGRycy9k&#10;b3ducmV2LnhtbFBLAQIUABQAAAAIAIdO4kAc5q1eBAIAAN4DAAAOAAAAAAAAAAEAIAAAACUBAABk&#10;cnMvZTJvRG9jLnhtbFBLBQYAAAAABgAGAFkBAACbBQAAAAA=&#10;">
                <v:fill on="f" focussize="0,0"/>
                <v:stroke color="#000000" joinstyle="round"/>
                <v:imagedata o:title=""/>
                <o:lock v:ext="edit" aspectratio="f"/>
              </v:shape>
            </w:pict>
          </mc:Fallback>
        </mc:AlternateContent>
      </w:r>
      <w:r>
        <w:rPr>
          <w:rFonts w:hint="eastAsia" w:eastAsia="仿宋_GB2312"/>
          <w:color w:val="auto"/>
          <w:sz w:val="36"/>
          <w:szCs w:val="36"/>
          <w:highlight w:val="none"/>
        </w:rPr>
        <w:t xml:space="preserve">建设单位： </w:t>
      </w:r>
      <w:r>
        <w:rPr>
          <w:rFonts w:eastAsia="仿宋_GB2312"/>
          <w:color w:val="auto"/>
          <w:sz w:val="36"/>
          <w:szCs w:val="36"/>
          <w:highlight w:val="none"/>
        </w:rPr>
        <w:t xml:space="preserve">  </w:t>
      </w:r>
      <w:r>
        <w:rPr>
          <w:rFonts w:hint="eastAsia" w:eastAsia="仿宋_GB2312"/>
          <w:color w:val="auto"/>
          <w:sz w:val="36"/>
          <w:szCs w:val="36"/>
          <w:highlight w:val="none"/>
        </w:rPr>
        <w:t>江阴市厚正玻璃制品有限公司</w:t>
      </w:r>
    </w:p>
    <w:p w14:paraId="6E14000D">
      <w:pPr>
        <w:adjustRightInd w:val="0"/>
        <w:snapToGrid w:val="0"/>
        <w:spacing w:line="288" w:lineRule="auto"/>
        <w:ind w:firstLine="484" w:firstLineChars="202"/>
        <w:rPr>
          <w:rFonts w:eastAsia="仿宋_GB2312"/>
          <w:color w:val="auto"/>
          <w:sz w:val="36"/>
          <w:szCs w:val="36"/>
          <w:highlight w:val="none"/>
          <w:u w:val="singl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1274445</wp:posOffset>
                </wp:positionH>
                <wp:positionV relativeFrom="paragraph">
                  <wp:posOffset>297180</wp:posOffset>
                </wp:positionV>
                <wp:extent cx="3724275" cy="0"/>
                <wp:effectExtent l="0" t="0" r="28575" b="19050"/>
                <wp:wrapNone/>
                <wp:docPr id="1343939234" name="直接箭头连接符 1343939234"/>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00.35pt;margin-top:23.4pt;height:0pt;width:293.25pt;z-index:251662336;mso-width-relative:page;mso-height-relative:page;" filled="f" stroked="t" coordsize="21600,21600" o:gfxdata="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JoufWAAAACQEAAA8AAAAAAAAAAQAgAAAAIgAAAGRycy9k&#10;b3ducmV2LnhtbFBLAQIUABQAAAAIAIdO4kC4gnpeBAIAAN4DAAAOAAAAAAAAAAEAIAAAACUBAABk&#10;cnMvZTJvRG9jLnhtbFBLBQYAAAAABgAGAFkBAACbBQAAAAA=&#10;">
                <v:fill on="f" focussize="0,0"/>
                <v:stroke color="#000000" joinstyle="round"/>
                <v:imagedata o:title=""/>
                <o:lock v:ext="edit" aspectratio="f"/>
              </v:shape>
            </w:pict>
          </mc:Fallback>
        </mc:AlternateContent>
      </w:r>
      <w:r>
        <w:rPr>
          <w:rFonts w:hint="eastAsia" w:eastAsia="仿宋_GB2312"/>
          <w:color w:val="auto"/>
          <w:sz w:val="36"/>
          <w:szCs w:val="36"/>
          <w:highlight w:val="none"/>
        </w:rPr>
        <w:t>编制日期：</w:t>
      </w:r>
      <w:r>
        <w:rPr>
          <w:rFonts w:eastAsia="仿宋_GB2312"/>
          <w:color w:val="auto"/>
          <w:sz w:val="36"/>
          <w:szCs w:val="36"/>
          <w:highlight w:val="none"/>
        </w:rPr>
        <w:t xml:space="preserve">         2025</w:t>
      </w:r>
      <w:r>
        <w:rPr>
          <w:rFonts w:hint="eastAsia" w:eastAsia="仿宋_GB2312"/>
          <w:color w:val="auto"/>
          <w:sz w:val="36"/>
          <w:szCs w:val="36"/>
          <w:highlight w:val="none"/>
        </w:rPr>
        <w:t>年6月</w:t>
      </w:r>
    </w:p>
    <w:p w14:paraId="1052D8DA">
      <w:pPr>
        <w:ind w:firstLine="480"/>
        <w:rPr>
          <w:color w:val="auto"/>
          <w:highlight w:val="none"/>
        </w:rPr>
      </w:pPr>
      <w:bookmarkStart w:id="0" w:name="_Hlk57884087"/>
    </w:p>
    <w:p w14:paraId="5555ECD9">
      <w:pPr>
        <w:ind w:firstLine="480"/>
        <w:rPr>
          <w:color w:val="auto"/>
          <w:highlight w:val="none"/>
        </w:rPr>
      </w:pPr>
    </w:p>
    <w:p w14:paraId="5C6C2FE0">
      <w:pPr>
        <w:ind w:firstLine="480"/>
        <w:rPr>
          <w:color w:val="auto"/>
          <w:highlight w:val="none"/>
        </w:rPr>
      </w:pPr>
    </w:p>
    <w:p w14:paraId="3D75858F">
      <w:pPr>
        <w:ind w:firstLine="480"/>
        <w:rPr>
          <w:color w:val="auto"/>
          <w:highlight w:val="none"/>
        </w:rPr>
      </w:pPr>
    </w:p>
    <w:p w14:paraId="609188FA">
      <w:pPr>
        <w:ind w:firstLine="480"/>
        <w:rPr>
          <w:color w:val="auto"/>
          <w:highlight w:val="none"/>
        </w:rPr>
      </w:pPr>
    </w:p>
    <w:bookmarkEnd w:id="0"/>
    <w:p w14:paraId="4A40CA58">
      <w:pPr>
        <w:adjustRightInd w:val="0"/>
        <w:snapToGrid w:val="0"/>
        <w:spacing w:line="288" w:lineRule="auto"/>
        <w:ind w:firstLine="720"/>
        <w:jc w:val="center"/>
        <w:rPr>
          <w:rFonts w:eastAsia="楷体_GB2312"/>
          <w:color w:val="auto"/>
          <w:sz w:val="36"/>
          <w:szCs w:val="36"/>
          <w:highlight w:val="none"/>
        </w:rPr>
      </w:pPr>
    </w:p>
    <w:p w14:paraId="329F5E8C">
      <w:pPr>
        <w:adjustRightInd w:val="0"/>
        <w:snapToGrid w:val="0"/>
        <w:spacing w:line="288" w:lineRule="auto"/>
        <w:ind w:firstLine="720"/>
        <w:jc w:val="center"/>
        <w:rPr>
          <w:rFonts w:eastAsia="楷体_GB2312"/>
          <w:color w:val="auto"/>
          <w:sz w:val="36"/>
          <w:szCs w:val="36"/>
          <w:highlight w:val="none"/>
        </w:rPr>
      </w:pPr>
    </w:p>
    <w:p w14:paraId="26FAECC3">
      <w:pPr>
        <w:adjustRightInd w:val="0"/>
        <w:snapToGrid w:val="0"/>
        <w:spacing w:line="288" w:lineRule="auto"/>
        <w:ind w:firstLine="720"/>
        <w:jc w:val="center"/>
        <w:rPr>
          <w:rFonts w:eastAsia="楷体_GB2312"/>
          <w:color w:val="auto"/>
          <w:sz w:val="36"/>
          <w:szCs w:val="36"/>
          <w:highlight w:val="none"/>
        </w:rPr>
      </w:pPr>
    </w:p>
    <w:p w14:paraId="0359CEC2">
      <w:pPr>
        <w:adjustRightInd w:val="0"/>
        <w:snapToGrid w:val="0"/>
        <w:spacing w:line="288" w:lineRule="auto"/>
        <w:ind w:firstLine="720"/>
        <w:jc w:val="center"/>
        <w:rPr>
          <w:rFonts w:eastAsia="楷体_GB2312"/>
          <w:color w:val="auto"/>
          <w:sz w:val="36"/>
          <w:szCs w:val="36"/>
          <w:highlight w:val="none"/>
        </w:rPr>
      </w:pPr>
      <w:r>
        <w:rPr>
          <w:rFonts w:hint="eastAsia" w:eastAsia="楷体_GB2312"/>
          <w:color w:val="auto"/>
          <w:sz w:val="36"/>
          <w:szCs w:val="36"/>
          <w:highlight w:val="none"/>
        </w:rPr>
        <w:t>中华人民共和国生态环境部制</w:t>
      </w:r>
    </w:p>
    <w:p w14:paraId="275D9AC1">
      <w:pPr>
        <w:pStyle w:val="56"/>
        <w:ind w:firstLine="496"/>
        <w:rPr>
          <w:snapToGrid w:val="0"/>
          <w:color w:val="auto"/>
          <w:highlight w:val="none"/>
        </w:rPr>
      </w:pPr>
    </w:p>
    <w:p w14:paraId="4D06B362">
      <w:pPr>
        <w:ind w:firstLine="600"/>
        <w:rPr>
          <w:snapToGrid w:val="0"/>
          <w:color w:val="auto"/>
          <w:sz w:val="30"/>
          <w:szCs w:val="30"/>
          <w:highlight w:val="none"/>
        </w:rPr>
      </w:pPr>
      <w:r>
        <w:rPr>
          <w:snapToGrid w:val="0"/>
          <w:color w:val="auto"/>
          <w:sz w:val="30"/>
          <w:szCs w:val="30"/>
          <w:highlight w:val="none"/>
        </w:rPr>
        <w:br w:type="page"/>
      </w:r>
    </w:p>
    <w:p w14:paraId="151C8534">
      <w:pPr>
        <w:spacing w:before="100" w:beforeAutospacing="1" w:after="100" w:afterAutospacing="1"/>
        <w:ind w:firstLine="600"/>
        <w:jc w:val="center"/>
        <w:outlineLvl w:val="0"/>
        <w:rPr>
          <w:snapToGrid w:val="0"/>
          <w:color w:val="auto"/>
          <w:sz w:val="30"/>
          <w:szCs w:val="30"/>
          <w:highlight w:val="none"/>
          <w:lang w:val="zh-CN"/>
        </w:rPr>
      </w:pPr>
      <w:r>
        <w:rPr>
          <w:rFonts w:hint="eastAsia"/>
          <w:snapToGrid w:val="0"/>
          <w:color w:val="auto"/>
          <w:sz w:val="30"/>
          <w:szCs w:val="30"/>
          <w:highlight w:val="none"/>
          <w:lang w:val="zh-CN"/>
        </w:rPr>
        <w:t>一、建设项目基本情况</w:t>
      </w:r>
    </w:p>
    <w:tbl>
      <w:tblPr>
        <w:tblStyle w:val="27"/>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76"/>
        <w:gridCol w:w="2510"/>
        <w:gridCol w:w="2032"/>
        <w:gridCol w:w="3252"/>
      </w:tblGrid>
      <w:tr w14:paraId="7B005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76" w:type="dxa"/>
            <w:tcMar>
              <w:top w:w="16" w:type="dxa"/>
              <w:left w:w="16" w:type="dxa"/>
              <w:right w:w="16" w:type="dxa"/>
            </w:tcMar>
            <w:vAlign w:val="center"/>
          </w:tcPr>
          <w:p w14:paraId="022EE420">
            <w:pPr>
              <w:adjustRightInd w:val="0"/>
              <w:snapToGrid w:val="0"/>
              <w:jc w:val="center"/>
              <w:rPr>
                <w:rFonts w:cs="Times New Roman"/>
                <w:color w:val="auto"/>
                <w:highlight w:val="none"/>
              </w:rPr>
            </w:pPr>
            <w:r>
              <w:rPr>
                <w:rFonts w:cs="Times New Roman"/>
                <w:color w:val="auto"/>
                <w:highlight w:val="none"/>
              </w:rPr>
              <w:t>建设项目名称</w:t>
            </w:r>
          </w:p>
        </w:tc>
        <w:tc>
          <w:tcPr>
            <w:tcW w:w="7794" w:type="dxa"/>
            <w:gridSpan w:val="3"/>
            <w:vAlign w:val="center"/>
          </w:tcPr>
          <w:p w14:paraId="5BF256FF">
            <w:pPr>
              <w:adjustRightInd w:val="0"/>
              <w:snapToGrid w:val="0"/>
              <w:jc w:val="center"/>
              <w:rPr>
                <w:rFonts w:cs="Times New Roman"/>
                <w:color w:val="auto"/>
                <w:highlight w:val="none"/>
              </w:rPr>
            </w:pPr>
            <w:r>
              <w:rPr>
                <w:rFonts w:cs="Times New Roman"/>
                <w:color w:val="auto"/>
                <w:highlight w:val="none"/>
              </w:rPr>
              <w:t>年产1200吨服饰辅料玻璃珠项目</w:t>
            </w:r>
          </w:p>
        </w:tc>
      </w:tr>
      <w:tr w14:paraId="27F65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76" w:type="dxa"/>
            <w:tcMar>
              <w:top w:w="16" w:type="dxa"/>
              <w:left w:w="16" w:type="dxa"/>
              <w:right w:w="16" w:type="dxa"/>
            </w:tcMar>
            <w:vAlign w:val="center"/>
          </w:tcPr>
          <w:p w14:paraId="5725979B">
            <w:pPr>
              <w:adjustRightInd w:val="0"/>
              <w:snapToGrid w:val="0"/>
              <w:jc w:val="center"/>
              <w:rPr>
                <w:rFonts w:cs="Times New Roman"/>
                <w:color w:val="auto"/>
                <w:highlight w:val="none"/>
              </w:rPr>
            </w:pPr>
            <w:r>
              <w:rPr>
                <w:rFonts w:cs="Times New Roman"/>
                <w:color w:val="auto"/>
                <w:highlight w:val="none"/>
              </w:rPr>
              <w:t>代码</w:t>
            </w:r>
          </w:p>
        </w:tc>
        <w:tc>
          <w:tcPr>
            <w:tcW w:w="7794" w:type="dxa"/>
            <w:gridSpan w:val="3"/>
            <w:vAlign w:val="center"/>
          </w:tcPr>
          <w:p w14:paraId="5835EDF3">
            <w:pPr>
              <w:adjustRightInd w:val="0"/>
              <w:snapToGrid w:val="0"/>
              <w:jc w:val="center"/>
              <w:rPr>
                <w:rFonts w:cs="Times New Roman"/>
                <w:color w:val="auto"/>
                <w:highlight w:val="none"/>
              </w:rPr>
            </w:pPr>
            <w:r>
              <w:rPr>
                <w:rFonts w:cs="Times New Roman"/>
                <w:color w:val="auto"/>
                <w:highlight w:val="none"/>
              </w:rPr>
              <w:t>2504-320264-89-01-653822</w:t>
            </w:r>
          </w:p>
        </w:tc>
      </w:tr>
      <w:tr w14:paraId="70D84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76" w:type="dxa"/>
            <w:tcMar>
              <w:top w:w="16" w:type="dxa"/>
              <w:left w:w="16" w:type="dxa"/>
              <w:right w:w="16" w:type="dxa"/>
            </w:tcMar>
            <w:vAlign w:val="center"/>
          </w:tcPr>
          <w:p w14:paraId="30AFC176">
            <w:pPr>
              <w:adjustRightInd w:val="0"/>
              <w:snapToGrid w:val="0"/>
              <w:jc w:val="center"/>
              <w:rPr>
                <w:rFonts w:cs="Times New Roman"/>
                <w:color w:val="auto"/>
                <w:highlight w:val="none"/>
              </w:rPr>
            </w:pPr>
            <w:r>
              <w:rPr>
                <w:rFonts w:cs="Times New Roman"/>
                <w:color w:val="auto"/>
                <w:highlight w:val="none"/>
              </w:rPr>
              <w:t>建设单位联系人</w:t>
            </w:r>
          </w:p>
        </w:tc>
        <w:tc>
          <w:tcPr>
            <w:tcW w:w="2510" w:type="dxa"/>
            <w:vAlign w:val="center"/>
          </w:tcPr>
          <w:p w14:paraId="619D9419">
            <w:pPr>
              <w:adjustRightInd w:val="0"/>
              <w:snapToGrid w:val="0"/>
              <w:jc w:val="center"/>
              <w:rPr>
                <w:rFonts w:hint="default" w:eastAsia="宋体" w:cs="Times New Roman"/>
                <w:color w:val="auto"/>
                <w:highlight w:val="none"/>
                <w:lang w:val="en-US" w:eastAsia="zh-CN"/>
              </w:rPr>
            </w:pPr>
            <w:r>
              <w:rPr>
                <w:rFonts w:cs="Times New Roman"/>
                <w:color w:val="auto"/>
                <w:highlight w:val="none"/>
              </w:rPr>
              <w:t>张</w:t>
            </w:r>
            <w:r>
              <w:rPr>
                <w:rFonts w:hint="eastAsia" w:cs="Times New Roman"/>
                <w:color w:val="auto"/>
                <w:highlight w:val="none"/>
                <w:lang w:val="en-US" w:eastAsia="zh-CN"/>
              </w:rPr>
              <w:t>**</w:t>
            </w:r>
          </w:p>
        </w:tc>
        <w:tc>
          <w:tcPr>
            <w:tcW w:w="2032" w:type="dxa"/>
            <w:vAlign w:val="center"/>
          </w:tcPr>
          <w:p w14:paraId="754760D0">
            <w:pPr>
              <w:adjustRightInd w:val="0"/>
              <w:snapToGrid w:val="0"/>
              <w:jc w:val="center"/>
              <w:rPr>
                <w:rFonts w:cs="Times New Roman"/>
                <w:color w:val="auto"/>
                <w:highlight w:val="none"/>
              </w:rPr>
            </w:pPr>
            <w:r>
              <w:rPr>
                <w:rFonts w:cs="Times New Roman"/>
                <w:color w:val="auto"/>
                <w:highlight w:val="none"/>
              </w:rPr>
              <w:t>联系方式</w:t>
            </w:r>
          </w:p>
        </w:tc>
        <w:tc>
          <w:tcPr>
            <w:tcW w:w="3252" w:type="dxa"/>
            <w:vAlign w:val="center"/>
          </w:tcPr>
          <w:p w14:paraId="4E5A14AE">
            <w:pPr>
              <w:adjustRightInd w:val="0"/>
              <w:snapToGrid w:val="0"/>
              <w:jc w:val="center"/>
              <w:rPr>
                <w:rFonts w:cs="Times New Roman"/>
                <w:color w:val="auto"/>
                <w:highlight w:val="none"/>
              </w:rPr>
            </w:pPr>
            <w:r>
              <w:rPr>
                <w:rFonts w:cs="Times New Roman"/>
                <w:color w:val="auto"/>
                <w:highlight w:val="none"/>
              </w:rPr>
              <w:t>1519</w:t>
            </w:r>
            <w:r>
              <w:rPr>
                <w:rFonts w:hint="eastAsia" w:cs="Times New Roman"/>
                <w:color w:val="auto"/>
                <w:highlight w:val="none"/>
                <w:lang w:val="en-US" w:eastAsia="zh-CN"/>
              </w:rPr>
              <w:t>****</w:t>
            </w:r>
            <w:r>
              <w:rPr>
                <w:rFonts w:cs="Times New Roman"/>
                <w:color w:val="auto"/>
                <w:highlight w:val="none"/>
              </w:rPr>
              <w:t>232</w:t>
            </w:r>
          </w:p>
        </w:tc>
      </w:tr>
      <w:tr w14:paraId="28764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76" w:type="dxa"/>
            <w:tcMar>
              <w:top w:w="16" w:type="dxa"/>
              <w:left w:w="16" w:type="dxa"/>
              <w:right w:w="16" w:type="dxa"/>
            </w:tcMar>
            <w:vAlign w:val="center"/>
          </w:tcPr>
          <w:p w14:paraId="3334767F">
            <w:pPr>
              <w:adjustRightInd w:val="0"/>
              <w:snapToGrid w:val="0"/>
              <w:jc w:val="center"/>
              <w:rPr>
                <w:rFonts w:cs="Times New Roman"/>
                <w:color w:val="auto"/>
                <w:highlight w:val="none"/>
              </w:rPr>
            </w:pPr>
            <w:r>
              <w:rPr>
                <w:rFonts w:cs="Times New Roman"/>
                <w:color w:val="auto"/>
                <w:highlight w:val="none"/>
              </w:rPr>
              <w:t>建设地点</w:t>
            </w:r>
          </w:p>
        </w:tc>
        <w:tc>
          <w:tcPr>
            <w:tcW w:w="7794" w:type="dxa"/>
            <w:gridSpan w:val="3"/>
            <w:vAlign w:val="center"/>
          </w:tcPr>
          <w:p w14:paraId="7EB2B27C">
            <w:pPr>
              <w:adjustRightInd w:val="0"/>
              <w:snapToGrid w:val="0"/>
              <w:jc w:val="center"/>
              <w:rPr>
                <w:rFonts w:cs="Times New Roman"/>
                <w:color w:val="auto"/>
                <w:highlight w:val="none"/>
              </w:rPr>
            </w:pPr>
            <w:r>
              <w:rPr>
                <w:rFonts w:cs="Times New Roman"/>
                <w:color w:val="auto"/>
                <w:highlight w:val="none"/>
              </w:rPr>
              <w:t>江苏省无锡市江阴市月城镇锡澄路1110号</w:t>
            </w:r>
          </w:p>
        </w:tc>
      </w:tr>
      <w:tr w14:paraId="1B360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76" w:type="dxa"/>
            <w:tcMar>
              <w:top w:w="16" w:type="dxa"/>
              <w:left w:w="16" w:type="dxa"/>
              <w:right w:w="16" w:type="dxa"/>
            </w:tcMar>
            <w:vAlign w:val="center"/>
          </w:tcPr>
          <w:p w14:paraId="5BEC65FE">
            <w:pPr>
              <w:adjustRightInd w:val="0"/>
              <w:snapToGrid w:val="0"/>
              <w:jc w:val="center"/>
              <w:rPr>
                <w:rFonts w:cs="Times New Roman"/>
                <w:color w:val="auto"/>
                <w:highlight w:val="none"/>
              </w:rPr>
            </w:pPr>
            <w:r>
              <w:rPr>
                <w:rFonts w:cs="Times New Roman"/>
                <w:color w:val="auto"/>
                <w:highlight w:val="none"/>
              </w:rPr>
              <w:t>地理坐标</w:t>
            </w:r>
          </w:p>
        </w:tc>
        <w:tc>
          <w:tcPr>
            <w:tcW w:w="7794" w:type="dxa"/>
            <w:gridSpan w:val="3"/>
            <w:vAlign w:val="center"/>
          </w:tcPr>
          <w:p w14:paraId="1711A6BB">
            <w:pPr>
              <w:jc w:val="center"/>
              <w:rPr>
                <w:rFonts w:cs="Times New Roman"/>
                <w:color w:val="auto"/>
                <w:highlight w:val="none"/>
              </w:rPr>
            </w:pPr>
            <w:r>
              <w:rPr>
                <w:rFonts w:cs="Times New Roman"/>
                <w:color w:val="auto"/>
                <w:highlight w:val="none"/>
              </w:rPr>
              <w:t>（</w:t>
            </w:r>
            <w:r>
              <w:rPr>
                <w:rFonts w:cs="Times New Roman"/>
                <w:color w:val="auto"/>
                <w:highlight w:val="none"/>
                <w:u w:val="single"/>
              </w:rPr>
              <w:t>120</w:t>
            </w:r>
            <w:r>
              <w:rPr>
                <w:rFonts w:cs="Times New Roman"/>
                <w:color w:val="auto"/>
                <w:highlight w:val="none"/>
              </w:rPr>
              <w:t>度</w:t>
            </w:r>
            <w:r>
              <w:rPr>
                <w:rFonts w:hint="eastAsia" w:cs="Times New Roman"/>
                <w:color w:val="auto"/>
                <w:highlight w:val="none"/>
                <w:u w:val="single"/>
              </w:rPr>
              <w:t>20</w:t>
            </w:r>
            <w:r>
              <w:rPr>
                <w:rFonts w:cs="Times New Roman"/>
                <w:color w:val="auto"/>
                <w:highlight w:val="none"/>
              </w:rPr>
              <w:t>分</w:t>
            </w:r>
            <w:r>
              <w:rPr>
                <w:rFonts w:hint="eastAsia" w:cs="Times New Roman"/>
                <w:color w:val="auto"/>
                <w:highlight w:val="none"/>
                <w:u w:val="single"/>
              </w:rPr>
              <w:t>39.48012</w:t>
            </w:r>
            <w:r>
              <w:rPr>
                <w:rFonts w:cs="Times New Roman"/>
                <w:color w:val="auto"/>
                <w:highlight w:val="none"/>
              </w:rPr>
              <w:t>秒，</w:t>
            </w:r>
            <w:r>
              <w:rPr>
                <w:rFonts w:cs="Times New Roman"/>
                <w:color w:val="auto"/>
                <w:highlight w:val="none"/>
                <w:u w:val="single"/>
              </w:rPr>
              <w:t>31</w:t>
            </w:r>
            <w:r>
              <w:rPr>
                <w:rFonts w:cs="Times New Roman"/>
                <w:color w:val="auto"/>
                <w:highlight w:val="none"/>
              </w:rPr>
              <w:t>度</w:t>
            </w:r>
            <w:r>
              <w:rPr>
                <w:rFonts w:cs="Times New Roman"/>
                <w:color w:val="auto"/>
                <w:highlight w:val="none"/>
                <w:u w:val="single"/>
              </w:rPr>
              <w:t>48</w:t>
            </w:r>
            <w:r>
              <w:rPr>
                <w:rFonts w:cs="Times New Roman"/>
                <w:color w:val="auto"/>
                <w:highlight w:val="none"/>
              </w:rPr>
              <w:t>分</w:t>
            </w:r>
            <w:r>
              <w:rPr>
                <w:rFonts w:hint="eastAsia" w:cs="Times New Roman"/>
                <w:color w:val="auto"/>
                <w:highlight w:val="none"/>
                <w:u w:val="single"/>
              </w:rPr>
              <w:t>23.41321</w:t>
            </w:r>
            <w:r>
              <w:rPr>
                <w:rFonts w:cs="Times New Roman"/>
                <w:color w:val="auto"/>
                <w:highlight w:val="none"/>
              </w:rPr>
              <w:t>秒）</w:t>
            </w:r>
          </w:p>
        </w:tc>
      </w:tr>
      <w:tr w14:paraId="6FD61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91" w:hRule="atLeast"/>
          <w:jc w:val="center"/>
        </w:trPr>
        <w:tc>
          <w:tcPr>
            <w:tcW w:w="1076" w:type="dxa"/>
            <w:tcMar>
              <w:top w:w="16" w:type="dxa"/>
              <w:left w:w="16" w:type="dxa"/>
              <w:right w:w="16" w:type="dxa"/>
            </w:tcMar>
            <w:vAlign w:val="center"/>
          </w:tcPr>
          <w:p w14:paraId="0270DCB3">
            <w:pPr>
              <w:adjustRightInd w:val="0"/>
              <w:snapToGrid w:val="0"/>
              <w:jc w:val="center"/>
              <w:rPr>
                <w:rFonts w:cs="Times New Roman"/>
                <w:color w:val="auto"/>
                <w:highlight w:val="none"/>
              </w:rPr>
            </w:pPr>
            <w:r>
              <w:rPr>
                <w:rFonts w:cs="Times New Roman"/>
                <w:color w:val="auto"/>
                <w:highlight w:val="none"/>
              </w:rPr>
              <w:t>国民经济行业类别</w:t>
            </w:r>
          </w:p>
        </w:tc>
        <w:tc>
          <w:tcPr>
            <w:tcW w:w="2510" w:type="dxa"/>
            <w:vAlign w:val="center"/>
          </w:tcPr>
          <w:p w14:paraId="3ECF7A99">
            <w:pPr>
              <w:jc w:val="center"/>
              <w:rPr>
                <w:rFonts w:cs="Times New Roman"/>
                <w:color w:val="auto"/>
                <w:highlight w:val="none"/>
              </w:rPr>
            </w:pPr>
            <w:r>
              <w:rPr>
                <w:rFonts w:cs="Times New Roman"/>
                <w:color w:val="auto"/>
                <w:highlight w:val="none"/>
              </w:rPr>
              <w:t>C3059其他玻璃制品制造</w:t>
            </w:r>
          </w:p>
        </w:tc>
        <w:tc>
          <w:tcPr>
            <w:tcW w:w="2032" w:type="dxa"/>
            <w:vAlign w:val="center"/>
          </w:tcPr>
          <w:p w14:paraId="389F0292">
            <w:pPr>
              <w:adjustRightInd w:val="0"/>
              <w:snapToGrid w:val="0"/>
              <w:jc w:val="center"/>
              <w:rPr>
                <w:rFonts w:cs="Times New Roman"/>
                <w:color w:val="auto"/>
                <w:highlight w:val="none"/>
              </w:rPr>
            </w:pPr>
            <w:bookmarkStart w:id="1" w:name="_Hlk49843745"/>
            <w:r>
              <w:rPr>
                <w:rFonts w:cs="Times New Roman"/>
                <w:color w:val="auto"/>
                <w:highlight w:val="none"/>
              </w:rPr>
              <w:t>建设项目</w:t>
            </w:r>
          </w:p>
          <w:p w14:paraId="4732745A">
            <w:pPr>
              <w:adjustRightInd w:val="0"/>
              <w:snapToGrid w:val="0"/>
              <w:jc w:val="center"/>
              <w:rPr>
                <w:rFonts w:cs="Times New Roman"/>
                <w:color w:val="auto"/>
                <w:highlight w:val="none"/>
              </w:rPr>
            </w:pPr>
            <w:r>
              <w:rPr>
                <w:rFonts w:cs="Times New Roman"/>
                <w:color w:val="auto"/>
                <w:highlight w:val="none"/>
              </w:rPr>
              <w:t>行业类别</w:t>
            </w:r>
            <w:bookmarkEnd w:id="1"/>
          </w:p>
        </w:tc>
        <w:tc>
          <w:tcPr>
            <w:tcW w:w="3252" w:type="dxa"/>
            <w:vAlign w:val="center"/>
          </w:tcPr>
          <w:p w14:paraId="75A68E50">
            <w:pPr>
              <w:adjustRightInd w:val="0"/>
              <w:snapToGrid w:val="0"/>
              <w:jc w:val="center"/>
              <w:rPr>
                <w:rFonts w:cs="Times New Roman"/>
                <w:color w:val="auto"/>
                <w:highlight w:val="none"/>
              </w:rPr>
            </w:pPr>
            <w:r>
              <w:rPr>
                <w:rFonts w:cs="Times New Roman"/>
                <w:color w:val="auto"/>
                <w:highlight w:val="none"/>
              </w:rPr>
              <w:t>二十七、非金属矿物制品业</w:t>
            </w:r>
          </w:p>
          <w:p w14:paraId="11AE894D">
            <w:pPr>
              <w:adjustRightInd w:val="0"/>
              <w:snapToGrid w:val="0"/>
              <w:jc w:val="center"/>
              <w:rPr>
                <w:rFonts w:cs="Times New Roman"/>
                <w:color w:val="auto"/>
                <w:highlight w:val="none"/>
              </w:rPr>
            </w:pPr>
            <w:r>
              <w:rPr>
                <w:rFonts w:cs="Times New Roman"/>
                <w:color w:val="auto"/>
                <w:highlight w:val="none"/>
              </w:rPr>
              <w:t>30，57玻璃制造304，玻璃制品制造305；</w:t>
            </w:r>
          </w:p>
        </w:tc>
      </w:tr>
      <w:tr w14:paraId="27CA0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96" w:hRule="atLeast"/>
          <w:jc w:val="center"/>
        </w:trPr>
        <w:tc>
          <w:tcPr>
            <w:tcW w:w="1076" w:type="dxa"/>
            <w:tcMar>
              <w:top w:w="16" w:type="dxa"/>
              <w:left w:w="16" w:type="dxa"/>
              <w:right w:w="16" w:type="dxa"/>
            </w:tcMar>
            <w:vAlign w:val="center"/>
          </w:tcPr>
          <w:p w14:paraId="03CC1D8D">
            <w:pPr>
              <w:adjustRightInd w:val="0"/>
              <w:snapToGrid w:val="0"/>
              <w:jc w:val="center"/>
              <w:rPr>
                <w:rFonts w:cs="Times New Roman"/>
                <w:color w:val="auto"/>
                <w:highlight w:val="none"/>
              </w:rPr>
            </w:pPr>
            <w:r>
              <w:rPr>
                <w:rFonts w:cs="Times New Roman"/>
                <w:color w:val="auto"/>
                <w:highlight w:val="none"/>
              </w:rPr>
              <w:t>建设性质</w:t>
            </w:r>
          </w:p>
        </w:tc>
        <w:tc>
          <w:tcPr>
            <w:tcW w:w="2510" w:type="dxa"/>
            <w:vAlign w:val="center"/>
          </w:tcPr>
          <w:p w14:paraId="489664E4">
            <w:pPr>
              <w:rPr>
                <w:rFonts w:cs="Times New Roman"/>
                <w:color w:val="auto"/>
                <w:highlight w:val="none"/>
              </w:rPr>
            </w:pPr>
            <w:r>
              <w:rPr>
                <w:rFonts w:cs="Times New Roman"/>
                <w:color w:val="auto"/>
                <w:highlight w:val="none"/>
              </w:rPr>
              <w:sym w:font="Wingdings 2" w:char="0052"/>
            </w:r>
            <w:r>
              <w:rPr>
                <w:rFonts w:cs="Times New Roman"/>
                <w:color w:val="auto"/>
                <w:highlight w:val="none"/>
              </w:rPr>
              <w:t>新建（迁建）</w:t>
            </w:r>
          </w:p>
          <w:p w14:paraId="4CA96149">
            <w:pPr>
              <w:rPr>
                <w:rFonts w:cs="Times New Roman"/>
                <w:color w:val="auto"/>
                <w:highlight w:val="none"/>
              </w:rPr>
            </w:pPr>
            <w:r>
              <w:rPr>
                <w:rFonts w:cs="Times New Roman"/>
                <w:color w:val="auto"/>
                <w:highlight w:val="none"/>
              </w:rPr>
              <w:sym w:font="Wingdings 2" w:char="00A3"/>
            </w:r>
            <w:r>
              <w:rPr>
                <w:rFonts w:cs="Times New Roman"/>
                <w:color w:val="auto"/>
                <w:highlight w:val="none"/>
              </w:rPr>
              <w:t>改建</w:t>
            </w:r>
          </w:p>
          <w:p w14:paraId="1905FAEC">
            <w:pPr>
              <w:rPr>
                <w:rFonts w:cs="Times New Roman"/>
                <w:color w:val="auto"/>
                <w:highlight w:val="none"/>
              </w:rPr>
            </w:pPr>
            <w:r>
              <w:rPr>
                <w:rFonts w:cs="Times New Roman"/>
                <w:color w:val="auto"/>
                <w:highlight w:val="none"/>
              </w:rPr>
              <w:sym w:font="Wingdings 2" w:char="00A3"/>
            </w:r>
            <w:r>
              <w:rPr>
                <w:rFonts w:cs="Times New Roman"/>
                <w:color w:val="auto"/>
                <w:highlight w:val="none"/>
              </w:rPr>
              <w:t>扩建</w:t>
            </w:r>
          </w:p>
          <w:p w14:paraId="1577FB91">
            <w:pPr>
              <w:rPr>
                <w:rFonts w:cs="Times New Roman"/>
                <w:color w:val="auto"/>
                <w:highlight w:val="none"/>
              </w:rPr>
            </w:pPr>
            <w:r>
              <w:rPr>
                <w:rFonts w:cs="Times New Roman"/>
                <w:color w:val="auto"/>
                <w:highlight w:val="none"/>
              </w:rPr>
              <w:sym w:font="Wingdings 2" w:char="00A3"/>
            </w:r>
            <w:r>
              <w:rPr>
                <w:rFonts w:cs="Times New Roman"/>
                <w:color w:val="auto"/>
                <w:highlight w:val="none"/>
              </w:rPr>
              <w:t>技术改造</w:t>
            </w:r>
          </w:p>
        </w:tc>
        <w:tc>
          <w:tcPr>
            <w:tcW w:w="2032" w:type="dxa"/>
            <w:vAlign w:val="center"/>
          </w:tcPr>
          <w:p w14:paraId="36FA9642">
            <w:pPr>
              <w:adjustRightInd w:val="0"/>
              <w:snapToGrid w:val="0"/>
              <w:jc w:val="center"/>
              <w:rPr>
                <w:rFonts w:cs="Times New Roman"/>
                <w:color w:val="auto"/>
                <w:highlight w:val="none"/>
              </w:rPr>
            </w:pPr>
            <w:r>
              <w:rPr>
                <w:rFonts w:cs="Times New Roman"/>
                <w:color w:val="auto"/>
                <w:highlight w:val="none"/>
              </w:rPr>
              <w:t>建设项目</w:t>
            </w:r>
          </w:p>
          <w:p w14:paraId="46633EBD">
            <w:pPr>
              <w:adjustRightInd w:val="0"/>
              <w:snapToGrid w:val="0"/>
              <w:jc w:val="center"/>
              <w:rPr>
                <w:rFonts w:cs="Times New Roman"/>
                <w:color w:val="auto"/>
                <w:highlight w:val="none"/>
              </w:rPr>
            </w:pPr>
            <w:r>
              <w:rPr>
                <w:rFonts w:cs="Times New Roman"/>
                <w:color w:val="auto"/>
                <w:highlight w:val="none"/>
              </w:rPr>
              <w:t>申报情形</w:t>
            </w:r>
          </w:p>
        </w:tc>
        <w:tc>
          <w:tcPr>
            <w:tcW w:w="3252" w:type="dxa"/>
            <w:vAlign w:val="center"/>
          </w:tcPr>
          <w:p w14:paraId="686AAD8D">
            <w:pPr>
              <w:rPr>
                <w:rFonts w:cs="Times New Roman"/>
                <w:color w:val="auto"/>
                <w:highlight w:val="none"/>
              </w:rPr>
            </w:pPr>
            <w:r>
              <w:rPr>
                <w:rFonts w:cs="Times New Roman"/>
                <w:color w:val="auto"/>
                <w:highlight w:val="none"/>
              </w:rPr>
              <w:sym w:font="Wingdings 2" w:char="0052"/>
            </w:r>
            <w:r>
              <w:rPr>
                <w:rFonts w:cs="Times New Roman"/>
                <w:color w:val="auto"/>
                <w:highlight w:val="none"/>
              </w:rPr>
              <w:t>首次申报项目</w:t>
            </w:r>
          </w:p>
          <w:p w14:paraId="5F90F2B5">
            <w:pPr>
              <w:rPr>
                <w:rFonts w:cs="Times New Roman"/>
                <w:color w:val="auto"/>
                <w:highlight w:val="none"/>
              </w:rPr>
            </w:pPr>
            <w:r>
              <w:rPr>
                <w:rFonts w:cs="Times New Roman"/>
                <w:color w:val="auto"/>
                <w:highlight w:val="none"/>
              </w:rPr>
              <w:sym w:font="Wingdings 2" w:char="00A3"/>
            </w:r>
            <w:r>
              <w:rPr>
                <w:rFonts w:cs="Times New Roman"/>
                <w:color w:val="auto"/>
                <w:highlight w:val="none"/>
              </w:rPr>
              <w:t>不予批准后再次申报项目</w:t>
            </w:r>
          </w:p>
          <w:p w14:paraId="56BBE697">
            <w:pPr>
              <w:rPr>
                <w:rFonts w:cs="Times New Roman"/>
                <w:color w:val="auto"/>
                <w:highlight w:val="none"/>
              </w:rPr>
            </w:pPr>
            <w:r>
              <w:rPr>
                <w:rFonts w:cs="Times New Roman"/>
                <w:color w:val="auto"/>
                <w:highlight w:val="none"/>
              </w:rPr>
              <w:sym w:font="Wingdings 2" w:char="00A3"/>
            </w:r>
            <w:r>
              <w:rPr>
                <w:rFonts w:cs="Times New Roman"/>
                <w:color w:val="auto"/>
                <w:highlight w:val="none"/>
              </w:rPr>
              <w:t>超五年重新审核项目</w:t>
            </w:r>
          </w:p>
          <w:p w14:paraId="018A0AB9">
            <w:pPr>
              <w:rPr>
                <w:rFonts w:cs="Times New Roman"/>
                <w:color w:val="auto"/>
                <w:highlight w:val="none"/>
              </w:rPr>
            </w:pPr>
            <w:r>
              <w:rPr>
                <w:rFonts w:cs="Times New Roman"/>
                <w:color w:val="auto"/>
                <w:highlight w:val="none"/>
              </w:rPr>
              <w:sym w:font="Wingdings 2" w:char="00A3"/>
            </w:r>
            <w:r>
              <w:rPr>
                <w:rFonts w:cs="Times New Roman"/>
                <w:color w:val="auto"/>
                <w:highlight w:val="none"/>
              </w:rPr>
              <w:t>重大变动重新报批项目</w:t>
            </w:r>
          </w:p>
        </w:tc>
      </w:tr>
      <w:tr w14:paraId="2352F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03" w:hRule="atLeast"/>
          <w:jc w:val="center"/>
        </w:trPr>
        <w:tc>
          <w:tcPr>
            <w:tcW w:w="1076" w:type="dxa"/>
            <w:tcMar>
              <w:top w:w="16" w:type="dxa"/>
              <w:left w:w="16" w:type="dxa"/>
              <w:right w:w="16" w:type="dxa"/>
            </w:tcMar>
            <w:vAlign w:val="center"/>
          </w:tcPr>
          <w:p w14:paraId="0BDBF5AF">
            <w:pPr>
              <w:adjustRightInd w:val="0"/>
              <w:snapToGrid w:val="0"/>
              <w:jc w:val="center"/>
              <w:rPr>
                <w:rFonts w:cs="Times New Roman"/>
                <w:color w:val="auto"/>
                <w:highlight w:val="none"/>
              </w:rPr>
            </w:pPr>
            <w:r>
              <w:rPr>
                <w:rFonts w:cs="Times New Roman"/>
                <w:color w:val="auto"/>
                <w:highlight w:val="none"/>
              </w:rPr>
              <w:t>项目审批（核准/</w:t>
            </w:r>
          </w:p>
          <w:p w14:paraId="106CF80E">
            <w:pPr>
              <w:adjustRightInd w:val="0"/>
              <w:snapToGrid w:val="0"/>
              <w:jc w:val="center"/>
              <w:rPr>
                <w:rFonts w:cs="Times New Roman"/>
                <w:color w:val="auto"/>
                <w:highlight w:val="none"/>
              </w:rPr>
            </w:pPr>
            <w:r>
              <w:rPr>
                <w:rFonts w:cs="Times New Roman"/>
                <w:color w:val="auto"/>
                <w:highlight w:val="none"/>
              </w:rPr>
              <w:t>备案）部门（选填）</w:t>
            </w:r>
          </w:p>
        </w:tc>
        <w:tc>
          <w:tcPr>
            <w:tcW w:w="2510" w:type="dxa"/>
            <w:vAlign w:val="center"/>
          </w:tcPr>
          <w:p w14:paraId="3F74F921">
            <w:pPr>
              <w:jc w:val="center"/>
              <w:rPr>
                <w:rFonts w:cs="Times New Roman"/>
                <w:color w:val="auto"/>
                <w:highlight w:val="none"/>
              </w:rPr>
            </w:pPr>
            <w:r>
              <w:rPr>
                <w:rStyle w:val="63"/>
                <w:rFonts w:hint="default" w:ascii="Times New Roman" w:hAnsi="Times New Roman" w:cs="Times New Roman"/>
                <w:color w:val="auto"/>
                <w:highlight w:val="none"/>
              </w:rPr>
              <w:t>江阴市月城镇人民政府</w:t>
            </w:r>
          </w:p>
        </w:tc>
        <w:tc>
          <w:tcPr>
            <w:tcW w:w="2032" w:type="dxa"/>
            <w:vAlign w:val="center"/>
          </w:tcPr>
          <w:p w14:paraId="0586467D">
            <w:pPr>
              <w:adjustRightInd w:val="0"/>
              <w:snapToGrid w:val="0"/>
              <w:jc w:val="center"/>
              <w:rPr>
                <w:rFonts w:cs="Times New Roman"/>
                <w:color w:val="auto"/>
                <w:highlight w:val="none"/>
              </w:rPr>
            </w:pPr>
            <w:r>
              <w:rPr>
                <w:rFonts w:cs="Times New Roman"/>
                <w:color w:val="auto"/>
                <w:highlight w:val="none"/>
              </w:rPr>
              <w:t>审批（核准/</w:t>
            </w:r>
          </w:p>
          <w:p w14:paraId="0B4ADCF7">
            <w:pPr>
              <w:adjustRightInd w:val="0"/>
              <w:snapToGrid w:val="0"/>
              <w:jc w:val="center"/>
              <w:rPr>
                <w:rFonts w:cs="Times New Roman"/>
                <w:color w:val="auto"/>
                <w:highlight w:val="none"/>
              </w:rPr>
            </w:pPr>
            <w:r>
              <w:rPr>
                <w:rFonts w:cs="Times New Roman"/>
                <w:color w:val="auto"/>
                <w:highlight w:val="none"/>
              </w:rPr>
              <w:t>备案）文号（选填）</w:t>
            </w:r>
          </w:p>
        </w:tc>
        <w:tc>
          <w:tcPr>
            <w:tcW w:w="3252" w:type="dxa"/>
            <w:vAlign w:val="center"/>
          </w:tcPr>
          <w:p w14:paraId="520BA202">
            <w:pPr>
              <w:adjustRightInd w:val="0"/>
              <w:snapToGrid w:val="0"/>
              <w:jc w:val="center"/>
              <w:rPr>
                <w:rFonts w:cs="Times New Roman"/>
                <w:color w:val="auto"/>
                <w:highlight w:val="none"/>
              </w:rPr>
            </w:pPr>
            <w:r>
              <w:rPr>
                <w:rFonts w:cs="Times New Roman"/>
                <w:color w:val="auto"/>
                <w:highlight w:val="none"/>
              </w:rPr>
              <w:t>江阴月城备〔2025〕27号</w:t>
            </w:r>
          </w:p>
        </w:tc>
      </w:tr>
      <w:tr w14:paraId="78CE05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1076" w:type="dxa"/>
            <w:tcMar>
              <w:top w:w="16" w:type="dxa"/>
              <w:left w:w="16" w:type="dxa"/>
              <w:right w:w="16" w:type="dxa"/>
            </w:tcMar>
            <w:vAlign w:val="center"/>
          </w:tcPr>
          <w:p w14:paraId="419A343D">
            <w:pPr>
              <w:adjustRightInd w:val="0"/>
              <w:snapToGrid w:val="0"/>
              <w:jc w:val="center"/>
              <w:rPr>
                <w:rFonts w:cs="Times New Roman"/>
                <w:color w:val="auto"/>
                <w:highlight w:val="none"/>
              </w:rPr>
            </w:pPr>
            <w:r>
              <w:rPr>
                <w:rFonts w:cs="Times New Roman"/>
                <w:color w:val="auto"/>
                <w:highlight w:val="none"/>
              </w:rPr>
              <w:t>总投资（万元）</w:t>
            </w:r>
          </w:p>
        </w:tc>
        <w:tc>
          <w:tcPr>
            <w:tcW w:w="2510" w:type="dxa"/>
            <w:vAlign w:val="center"/>
          </w:tcPr>
          <w:p w14:paraId="53D2D064">
            <w:pPr>
              <w:adjustRightInd w:val="0"/>
              <w:snapToGrid w:val="0"/>
              <w:jc w:val="center"/>
              <w:rPr>
                <w:rFonts w:cs="Times New Roman"/>
                <w:color w:val="auto"/>
                <w:highlight w:val="none"/>
              </w:rPr>
            </w:pPr>
            <w:r>
              <w:rPr>
                <w:rFonts w:cs="Times New Roman"/>
                <w:color w:val="auto"/>
                <w:highlight w:val="none"/>
              </w:rPr>
              <w:t>100</w:t>
            </w:r>
          </w:p>
        </w:tc>
        <w:tc>
          <w:tcPr>
            <w:tcW w:w="2032" w:type="dxa"/>
            <w:tcMar>
              <w:top w:w="16" w:type="dxa"/>
              <w:left w:w="16" w:type="dxa"/>
              <w:right w:w="16" w:type="dxa"/>
            </w:tcMar>
            <w:vAlign w:val="center"/>
          </w:tcPr>
          <w:p w14:paraId="59916A10">
            <w:pPr>
              <w:adjustRightInd w:val="0"/>
              <w:snapToGrid w:val="0"/>
              <w:jc w:val="center"/>
              <w:rPr>
                <w:rFonts w:cs="Times New Roman"/>
                <w:color w:val="auto"/>
                <w:highlight w:val="none"/>
              </w:rPr>
            </w:pPr>
            <w:r>
              <w:rPr>
                <w:rFonts w:cs="Times New Roman"/>
                <w:color w:val="auto"/>
                <w:highlight w:val="none"/>
              </w:rPr>
              <w:t>环保投资（万元）</w:t>
            </w:r>
          </w:p>
        </w:tc>
        <w:tc>
          <w:tcPr>
            <w:tcW w:w="3252" w:type="dxa"/>
            <w:vAlign w:val="center"/>
          </w:tcPr>
          <w:p w14:paraId="3A9ECA92">
            <w:pPr>
              <w:adjustRightInd w:val="0"/>
              <w:snapToGrid w:val="0"/>
              <w:jc w:val="center"/>
              <w:rPr>
                <w:rFonts w:cs="Times New Roman"/>
                <w:color w:val="auto"/>
                <w:highlight w:val="none"/>
              </w:rPr>
            </w:pPr>
            <w:r>
              <w:rPr>
                <w:rFonts w:hint="eastAsia" w:cs="Times New Roman"/>
                <w:color w:val="auto"/>
                <w:highlight w:val="none"/>
              </w:rPr>
              <w:t>15</w:t>
            </w:r>
          </w:p>
        </w:tc>
      </w:tr>
      <w:tr w14:paraId="4919B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1076" w:type="dxa"/>
            <w:tcMar>
              <w:top w:w="16" w:type="dxa"/>
              <w:left w:w="16" w:type="dxa"/>
              <w:right w:w="16" w:type="dxa"/>
            </w:tcMar>
            <w:vAlign w:val="center"/>
          </w:tcPr>
          <w:p w14:paraId="12C71CFD">
            <w:pPr>
              <w:adjustRightInd w:val="0"/>
              <w:snapToGrid w:val="0"/>
              <w:jc w:val="center"/>
              <w:rPr>
                <w:rFonts w:cs="Times New Roman"/>
                <w:color w:val="auto"/>
                <w:highlight w:val="none"/>
              </w:rPr>
            </w:pPr>
            <w:r>
              <w:rPr>
                <w:rFonts w:cs="Times New Roman"/>
                <w:color w:val="auto"/>
                <w:highlight w:val="none"/>
              </w:rPr>
              <w:t>环保投资占比（%）</w:t>
            </w:r>
          </w:p>
        </w:tc>
        <w:tc>
          <w:tcPr>
            <w:tcW w:w="2510" w:type="dxa"/>
            <w:vAlign w:val="center"/>
          </w:tcPr>
          <w:p w14:paraId="7BAFC3FD">
            <w:pPr>
              <w:adjustRightInd w:val="0"/>
              <w:snapToGrid w:val="0"/>
              <w:jc w:val="center"/>
              <w:rPr>
                <w:rFonts w:cs="Times New Roman"/>
                <w:color w:val="auto"/>
                <w:highlight w:val="none"/>
              </w:rPr>
            </w:pPr>
            <w:r>
              <w:rPr>
                <w:rFonts w:hint="eastAsia" w:cs="Times New Roman"/>
                <w:color w:val="auto"/>
                <w:highlight w:val="none"/>
              </w:rPr>
              <w:t>15</w:t>
            </w:r>
          </w:p>
        </w:tc>
        <w:tc>
          <w:tcPr>
            <w:tcW w:w="2032" w:type="dxa"/>
            <w:tcMar>
              <w:top w:w="16" w:type="dxa"/>
              <w:left w:w="16" w:type="dxa"/>
              <w:right w:w="16" w:type="dxa"/>
            </w:tcMar>
            <w:vAlign w:val="center"/>
          </w:tcPr>
          <w:p w14:paraId="20FEB5F3">
            <w:pPr>
              <w:adjustRightInd w:val="0"/>
              <w:snapToGrid w:val="0"/>
              <w:jc w:val="center"/>
              <w:rPr>
                <w:rFonts w:cs="Times New Roman"/>
                <w:color w:val="auto"/>
                <w:highlight w:val="none"/>
              </w:rPr>
            </w:pPr>
            <w:r>
              <w:rPr>
                <w:rFonts w:cs="Times New Roman"/>
                <w:color w:val="auto"/>
                <w:highlight w:val="none"/>
              </w:rPr>
              <w:t>施工工期</w:t>
            </w:r>
          </w:p>
        </w:tc>
        <w:tc>
          <w:tcPr>
            <w:tcW w:w="3252" w:type="dxa"/>
            <w:vAlign w:val="center"/>
          </w:tcPr>
          <w:p w14:paraId="6696FAA0">
            <w:pPr>
              <w:pStyle w:val="62"/>
              <w:rPr>
                <w:rFonts w:cs="Times New Roman"/>
                <w:color w:val="auto"/>
                <w:highlight w:val="none"/>
              </w:rPr>
            </w:pPr>
            <w:r>
              <w:rPr>
                <w:color w:val="auto"/>
                <w:sz w:val="24"/>
                <w:szCs w:val="24"/>
                <w:highlight w:val="none"/>
              </w:rPr>
              <w:t>6个月</w:t>
            </w:r>
          </w:p>
        </w:tc>
      </w:tr>
      <w:tr w14:paraId="2F554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14" w:hRule="atLeast"/>
          <w:jc w:val="center"/>
        </w:trPr>
        <w:tc>
          <w:tcPr>
            <w:tcW w:w="1076" w:type="dxa"/>
            <w:tcMar>
              <w:top w:w="16" w:type="dxa"/>
              <w:left w:w="16" w:type="dxa"/>
              <w:right w:w="16" w:type="dxa"/>
            </w:tcMar>
            <w:vAlign w:val="center"/>
          </w:tcPr>
          <w:p w14:paraId="7A0ECEBC">
            <w:pPr>
              <w:jc w:val="center"/>
              <w:rPr>
                <w:rFonts w:cs="Times New Roman"/>
                <w:color w:val="auto"/>
                <w:highlight w:val="none"/>
              </w:rPr>
            </w:pPr>
            <w:r>
              <w:rPr>
                <w:rFonts w:cs="Times New Roman"/>
                <w:color w:val="auto"/>
                <w:highlight w:val="none"/>
              </w:rPr>
              <w:t>是否开工建设</w:t>
            </w:r>
          </w:p>
        </w:tc>
        <w:tc>
          <w:tcPr>
            <w:tcW w:w="2510" w:type="dxa"/>
            <w:vAlign w:val="center"/>
          </w:tcPr>
          <w:p w14:paraId="251DE8CD">
            <w:pPr>
              <w:adjustRightInd w:val="0"/>
              <w:snapToGrid w:val="0"/>
              <w:jc w:val="center"/>
              <w:rPr>
                <w:rFonts w:cs="Times New Roman"/>
                <w:color w:val="auto"/>
                <w:highlight w:val="none"/>
              </w:rPr>
            </w:pPr>
            <w:r>
              <w:rPr>
                <w:rFonts w:cs="Times New Roman"/>
                <w:color w:val="auto"/>
                <w:highlight w:val="none"/>
              </w:rPr>
              <w:sym w:font="Wingdings 2" w:char="0052"/>
            </w:r>
            <w:r>
              <w:rPr>
                <w:rFonts w:cs="Times New Roman"/>
                <w:color w:val="auto"/>
                <w:highlight w:val="none"/>
              </w:rPr>
              <w:t>否</w:t>
            </w:r>
          </w:p>
          <w:p w14:paraId="0778C689">
            <w:pPr>
              <w:adjustRightInd w:val="0"/>
              <w:snapToGrid w:val="0"/>
              <w:jc w:val="center"/>
              <w:rPr>
                <w:rFonts w:cs="Times New Roman"/>
                <w:color w:val="auto"/>
                <w:highlight w:val="none"/>
              </w:rPr>
            </w:pPr>
            <w:r>
              <w:rPr>
                <w:rFonts w:cs="Times New Roman"/>
                <w:color w:val="auto"/>
                <w:highlight w:val="none"/>
              </w:rPr>
              <w:sym w:font="Wingdings 2" w:char="00A3"/>
            </w:r>
            <w:r>
              <w:rPr>
                <w:rFonts w:cs="Times New Roman"/>
                <w:color w:val="auto"/>
                <w:highlight w:val="none"/>
              </w:rPr>
              <w:t>是</w:t>
            </w:r>
          </w:p>
        </w:tc>
        <w:tc>
          <w:tcPr>
            <w:tcW w:w="2032" w:type="dxa"/>
            <w:tcMar>
              <w:top w:w="16" w:type="dxa"/>
              <w:left w:w="16" w:type="dxa"/>
              <w:right w:w="16" w:type="dxa"/>
            </w:tcMar>
            <w:vAlign w:val="center"/>
          </w:tcPr>
          <w:p w14:paraId="3F6522E0">
            <w:pPr>
              <w:adjustRightInd w:val="0"/>
              <w:snapToGrid w:val="0"/>
              <w:jc w:val="center"/>
              <w:rPr>
                <w:rFonts w:cs="Times New Roman"/>
                <w:color w:val="auto"/>
                <w:highlight w:val="none"/>
              </w:rPr>
            </w:pPr>
            <w:r>
              <w:rPr>
                <w:rFonts w:cs="Times New Roman"/>
                <w:color w:val="auto"/>
                <w:spacing w:val="-6"/>
                <w:highlight w:val="none"/>
              </w:rPr>
              <w:t>用地（用海）面积（m</w:t>
            </w:r>
            <w:r>
              <w:rPr>
                <w:rFonts w:cs="Times New Roman"/>
                <w:color w:val="auto"/>
                <w:spacing w:val="-6"/>
                <w:highlight w:val="none"/>
                <w:vertAlign w:val="superscript"/>
              </w:rPr>
              <w:t>2</w:t>
            </w:r>
            <w:r>
              <w:rPr>
                <w:rFonts w:cs="Times New Roman"/>
                <w:color w:val="auto"/>
                <w:spacing w:val="-6"/>
                <w:highlight w:val="none"/>
              </w:rPr>
              <w:t>）</w:t>
            </w:r>
          </w:p>
        </w:tc>
        <w:tc>
          <w:tcPr>
            <w:tcW w:w="3252" w:type="dxa"/>
            <w:vAlign w:val="center"/>
          </w:tcPr>
          <w:p w14:paraId="25F7D28E">
            <w:pPr>
              <w:adjustRightInd w:val="0"/>
              <w:snapToGrid w:val="0"/>
              <w:jc w:val="center"/>
              <w:rPr>
                <w:rFonts w:cs="Times New Roman"/>
                <w:color w:val="auto"/>
                <w:highlight w:val="none"/>
              </w:rPr>
            </w:pPr>
            <w:r>
              <w:rPr>
                <w:rFonts w:cs="Times New Roman"/>
                <w:color w:val="auto"/>
                <w:highlight w:val="none"/>
              </w:rPr>
              <w:t>750</w:t>
            </w:r>
          </w:p>
        </w:tc>
      </w:tr>
      <w:tr w14:paraId="52B94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6" w:type="dxa"/>
            <w:vAlign w:val="center"/>
          </w:tcPr>
          <w:p w14:paraId="75F6A098">
            <w:pPr>
              <w:pStyle w:val="58"/>
              <w:rPr>
                <w:rFonts w:cs="Times New Roman"/>
                <w:color w:val="auto"/>
                <w:highlight w:val="none"/>
              </w:rPr>
            </w:pPr>
            <w:r>
              <w:rPr>
                <w:rFonts w:cs="Times New Roman"/>
                <w:color w:val="auto"/>
                <w:sz w:val="24"/>
                <w:szCs w:val="24"/>
                <w:highlight w:val="none"/>
              </w:rPr>
              <w:t>专项评价设置情况</w:t>
            </w:r>
          </w:p>
        </w:tc>
        <w:tc>
          <w:tcPr>
            <w:tcW w:w="7794" w:type="dxa"/>
            <w:gridSpan w:val="3"/>
            <w:vAlign w:val="center"/>
          </w:tcPr>
          <w:p w14:paraId="117BD1C5">
            <w:pPr>
              <w:pStyle w:val="58"/>
              <w:rPr>
                <w:rFonts w:cs="Times New Roman"/>
                <w:b/>
                <w:color w:val="auto"/>
                <w:sz w:val="24"/>
                <w:szCs w:val="24"/>
                <w:highlight w:val="none"/>
              </w:rPr>
            </w:pPr>
            <w:r>
              <w:rPr>
                <w:rFonts w:cs="Times New Roman"/>
                <w:b/>
                <w:color w:val="auto"/>
                <w:sz w:val="24"/>
                <w:szCs w:val="24"/>
                <w:highlight w:val="none"/>
              </w:rPr>
              <w:t>表1-1</w:t>
            </w:r>
            <w:r>
              <w:rPr>
                <w:rFonts w:hint="eastAsia" w:cs="Times New Roman"/>
                <w:b/>
                <w:color w:val="auto"/>
                <w:sz w:val="24"/>
                <w:szCs w:val="24"/>
                <w:highlight w:val="none"/>
              </w:rPr>
              <w:t xml:space="preserve"> </w:t>
            </w:r>
            <w:r>
              <w:rPr>
                <w:rFonts w:cs="Times New Roman"/>
                <w:b/>
                <w:color w:val="auto"/>
                <w:sz w:val="24"/>
                <w:szCs w:val="24"/>
                <w:highlight w:val="none"/>
              </w:rPr>
              <w:t>专项评价设置情况判断表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3048"/>
              <w:gridCol w:w="2477"/>
              <w:gridCol w:w="863"/>
            </w:tblGrid>
            <w:tr w14:paraId="143CAA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5" w:type="pct"/>
                  <w:tcBorders>
                    <w:top w:val="single" w:color="auto" w:sz="12" w:space="0"/>
                    <w:bottom w:val="single" w:color="auto" w:sz="12" w:space="0"/>
                  </w:tcBorders>
                  <w:vAlign w:val="center"/>
                </w:tcPr>
                <w:p w14:paraId="562B316E">
                  <w:pPr>
                    <w:pStyle w:val="62"/>
                    <w:rPr>
                      <w:rFonts w:cs="Times New Roman"/>
                      <w:b/>
                      <w:color w:val="auto"/>
                      <w:highlight w:val="none"/>
                    </w:rPr>
                  </w:pPr>
                  <w:r>
                    <w:rPr>
                      <w:rFonts w:cs="Times New Roman"/>
                      <w:b/>
                      <w:color w:val="auto"/>
                      <w:highlight w:val="none"/>
                    </w:rPr>
                    <w:t>专项评价的类别</w:t>
                  </w:r>
                </w:p>
              </w:tc>
              <w:tc>
                <w:tcPr>
                  <w:tcW w:w="2010" w:type="pct"/>
                  <w:tcBorders>
                    <w:top w:val="single" w:color="auto" w:sz="12" w:space="0"/>
                    <w:bottom w:val="single" w:color="auto" w:sz="12" w:space="0"/>
                  </w:tcBorders>
                  <w:vAlign w:val="center"/>
                </w:tcPr>
                <w:p w14:paraId="52143202">
                  <w:pPr>
                    <w:pStyle w:val="62"/>
                    <w:rPr>
                      <w:rFonts w:cs="Times New Roman"/>
                      <w:b/>
                      <w:color w:val="auto"/>
                      <w:highlight w:val="none"/>
                    </w:rPr>
                  </w:pPr>
                  <w:r>
                    <w:rPr>
                      <w:rFonts w:cs="Times New Roman"/>
                      <w:b/>
                      <w:color w:val="auto"/>
                      <w:highlight w:val="none"/>
                    </w:rPr>
                    <w:t>设置原则</w:t>
                  </w:r>
                </w:p>
              </w:tc>
              <w:tc>
                <w:tcPr>
                  <w:tcW w:w="1634" w:type="pct"/>
                  <w:tcBorders>
                    <w:top w:val="single" w:color="auto" w:sz="12" w:space="0"/>
                    <w:bottom w:val="single" w:color="auto" w:sz="12" w:space="0"/>
                  </w:tcBorders>
                  <w:vAlign w:val="center"/>
                </w:tcPr>
                <w:p w14:paraId="6BCF69E4">
                  <w:pPr>
                    <w:pStyle w:val="62"/>
                    <w:rPr>
                      <w:rFonts w:cs="Times New Roman"/>
                      <w:b/>
                      <w:color w:val="auto"/>
                      <w:highlight w:val="none"/>
                    </w:rPr>
                  </w:pPr>
                  <w:r>
                    <w:rPr>
                      <w:rFonts w:cs="Times New Roman"/>
                      <w:b/>
                      <w:color w:val="auto"/>
                      <w:highlight w:val="none"/>
                    </w:rPr>
                    <w:t>本项目情况</w:t>
                  </w:r>
                </w:p>
              </w:tc>
              <w:tc>
                <w:tcPr>
                  <w:tcW w:w="569" w:type="pct"/>
                  <w:tcBorders>
                    <w:top w:val="single" w:color="auto" w:sz="12" w:space="0"/>
                    <w:bottom w:val="single" w:color="auto" w:sz="12" w:space="0"/>
                  </w:tcBorders>
                  <w:vAlign w:val="center"/>
                </w:tcPr>
                <w:p w14:paraId="0F1E30A4">
                  <w:pPr>
                    <w:pStyle w:val="62"/>
                    <w:rPr>
                      <w:rFonts w:cs="Times New Roman"/>
                      <w:b/>
                      <w:color w:val="auto"/>
                      <w:highlight w:val="none"/>
                    </w:rPr>
                  </w:pPr>
                  <w:r>
                    <w:rPr>
                      <w:rFonts w:cs="Times New Roman"/>
                      <w:b/>
                      <w:color w:val="auto"/>
                      <w:highlight w:val="none"/>
                    </w:rPr>
                    <w:t>判断结果</w:t>
                  </w:r>
                </w:p>
              </w:tc>
            </w:tr>
            <w:tr w14:paraId="364742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5" w:type="pct"/>
                  <w:tcBorders>
                    <w:top w:val="single" w:color="auto" w:sz="12" w:space="0"/>
                  </w:tcBorders>
                  <w:vAlign w:val="center"/>
                </w:tcPr>
                <w:p w14:paraId="766FFAF7">
                  <w:pPr>
                    <w:pStyle w:val="62"/>
                    <w:rPr>
                      <w:rFonts w:cs="Times New Roman"/>
                      <w:color w:val="auto"/>
                      <w:highlight w:val="none"/>
                    </w:rPr>
                  </w:pPr>
                  <w:r>
                    <w:rPr>
                      <w:rFonts w:cs="Times New Roman"/>
                      <w:color w:val="auto"/>
                      <w:highlight w:val="none"/>
                    </w:rPr>
                    <w:t>大气</w:t>
                  </w:r>
                </w:p>
              </w:tc>
              <w:tc>
                <w:tcPr>
                  <w:tcW w:w="2010" w:type="pct"/>
                  <w:tcBorders>
                    <w:top w:val="single" w:color="auto" w:sz="12" w:space="0"/>
                  </w:tcBorders>
                  <w:vAlign w:val="center"/>
                </w:tcPr>
                <w:p w14:paraId="40FBC6CC">
                  <w:pPr>
                    <w:pStyle w:val="62"/>
                    <w:rPr>
                      <w:rFonts w:cs="Times New Roman"/>
                      <w:color w:val="auto"/>
                      <w:highlight w:val="none"/>
                    </w:rPr>
                  </w:pPr>
                  <w:r>
                    <w:rPr>
                      <w:rFonts w:cs="Times New Roman"/>
                      <w:color w:val="auto"/>
                      <w:highlight w:val="none"/>
                    </w:rPr>
                    <w:t>排放废气含有毒有害污染物、二噁英、苯并[a]芘、氰化物、氯气且厂界外500米范围内有环境空气保护目标的建设项目</w:t>
                  </w:r>
                </w:p>
              </w:tc>
              <w:tc>
                <w:tcPr>
                  <w:tcW w:w="1634" w:type="pct"/>
                  <w:tcBorders>
                    <w:top w:val="single" w:color="auto" w:sz="12" w:space="0"/>
                  </w:tcBorders>
                  <w:vAlign w:val="center"/>
                </w:tcPr>
                <w:p w14:paraId="16065DB3">
                  <w:pPr>
                    <w:pStyle w:val="62"/>
                    <w:rPr>
                      <w:rFonts w:cs="Times New Roman"/>
                      <w:color w:val="auto"/>
                      <w:highlight w:val="none"/>
                    </w:rPr>
                  </w:pPr>
                  <w:r>
                    <w:rPr>
                      <w:rFonts w:cs="Times New Roman"/>
                      <w:color w:val="auto"/>
                      <w:highlight w:val="none"/>
                    </w:rPr>
                    <w:t>本项目不涉及废气的产生及排放，不含设置原则中提到的污染物。</w:t>
                  </w:r>
                </w:p>
              </w:tc>
              <w:tc>
                <w:tcPr>
                  <w:tcW w:w="569" w:type="pct"/>
                  <w:vMerge w:val="restart"/>
                  <w:tcBorders>
                    <w:top w:val="single" w:color="auto" w:sz="12" w:space="0"/>
                  </w:tcBorders>
                  <w:vAlign w:val="center"/>
                </w:tcPr>
                <w:p w14:paraId="0D454A7C">
                  <w:pPr>
                    <w:pStyle w:val="62"/>
                    <w:rPr>
                      <w:rFonts w:cs="Times New Roman"/>
                      <w:color w:val="auto"/>
                      <w:highlight w:val="none"/>
                    </w:rPr>
                  </w:pPr>
                  <w:r>
                    <w:rPr>
                      <w:rFonts w:cs="Times New Roman"/>
                      <w:color w:val="auto"/>
                      <w:highlight w:val="none"/>
                    </w:rPr>
                    <w:t>无需专项评价</w:t>
                  </w:r>
                </w:p>
              </w:tc>
            </w:tr>
            <w:tr w14:paraId="2BC751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pct"/>
                  <w:vAlign w:val="center"/>
                </w:tcPr>
                <w:p w14:paraId="66C37F7C">
                  <w:pPr>
                    <w:pStyle w:val="62"/>
                    <w:rPr>
                      <w:rFonts w:cs="Times New Roman"/>
                      <w:color w:val="auto"/>
                      <w:highlight w:val="none"/>
                    </w:rPr>
                  </w:pPr>
                  <w:r>
                    <w:rPr>
                      <w:rFonts w:cs="Times New Roman"/>
                      <w:color w:val="auto"/>
                      <w:highlight w:val="none"/>
                    </w:rPr>
                    <w:t>地表水</w:t>
                  </w:r>
                </w:p>
              </w:tc>
              <w:tc>
                <w:tcPr>
                  <w:tcW w:w="2010" w:type="pct"/>
                  <w:vAlign w:val="center"/>
                </w:tcPr>
                <w:p w14:paraId="74FE9388">
                  <w:pPr>
                    <w:pStyle w:val="62"/>
                    <w:rPr>
                      <w:rFonts w:cs="Times New Roman"/>
                      <w:color w:val="auto"/>
                      <w:highlight w:val="none"/>
                    </w:rPr>
                  </w:pPr>
                  <w:r>
                    <w:rPr>
                      <w:rFonts w:cs="Times New Roman"/>
                      <w:color w:val="auto"/>
                      <w:highlight w:val="none"/>
                    </w:rPr>
                    <w:t>新增工业废水直排建设项目（槽罐车外送污水处理厂的除外）；新增废水直排的污水集中处理厂</w:t>
                  </w:r>
                </w:p>
              </w:tc>
              <w:tc>
                <w:tcPr>
                  <w:tcW w:w="1634" w:type="pct"/>
                  <w:vAlign w:val="center"/>
                </w:tcPr>
                <w:p w14:paraId="0451395C">
                  <w:pPr>
                    <w:pStyle w:val="62"/>
                    <w:rPr>
                      <w:rFonts w:hint="eastAsia" w:cs="Times New Roman"/>
                      <w:color w:val="auto"/>
                      <w:highlight w:val="none"/>
                    </w:rPr>
                  </w:pPr>
                  <w:r>
                    <w:rPr>
                      <w:rFonts w:cs="Times New Roman"/>
                      <w:color w:val="auto"/>
                      <w:highlight w:val="none"/>
                    </w:rPr>
                    <w:t>本项目生产废水经厂内预处理系统处理后回用，浓水经槽罐车运至江阴市奕水盈科技有限公司处置</w:t>
                  </w:r>
                  <w:r>
                    <w:rPr>
                      <w:rFonts w:hint="eastAsia" w:cs="Times New Roman"/>
                      <w:color w:val="auto"/>
                      <w:highlight w:val="none"/>
                    </w:rPr>
                    <w:t>，处理尾水回用，不排放。</w:t>
                  </w:r>
                </w:p>
                <w:p w14:paraId="656EC04A">
                  <w:pPr>
                    <w:pStyle w:val="62"/>
                    <w:rPr>
                      <w:rFonts w:cs="Times New Roman"/>
                      <w:color w:val="auto"/>
                      <w:highlight w:val="none"/>
                    </w:rPr>
                  </w:pPr>
                  <w:r>
                    <w:rPr>
                      <w:rFonts w:hint="eastAsia" w:cs="Times New Roman"/>
                      <w:color w:val="auto"/>
                      <w:highlight w:val="none"/>
                      <w:lang w:val="en-US" w:eastAsia="zh-CN"/>
                    </w:rPr>
                    <w:t>因此</w:t>
                  </w:r>
                  <w:r>
                    <w:rPr>
                      <w:rFonts w:cs="Times New Roman"/>
                      <w:color w:val="auto"/>
                      <w:highlight w:val="none"/>
                    </w:rPr>
                    <w:t>不涉及新增工业废水直排。</w:t>
                  </w:r>
                </w:p>
              </w:tc>
              <w:tc>
                <w:tcPr>
                  <w:tcW w:w="569" w:type="pct"/>
                  <w:vMerge w:val="continue"/>
                  <w:vAlign w:val="center"/>
                </w:tcPr>
                <w:p w14:paraId="64D3C8B2">
                  <w:pPr>
                    <w:pStyle w:val="62"/>
                    <w:rPr>
                      <w:rFonts w:cs="Times New Roman"/>
                      <w:color w:val="auto"/>
                      <w:highlight w:val="none"/>
                    </w:rPr>
                  </w:pPr>
                </w:p>
              </w:tc>
            </w:tr>
            <w:tr w14:paraId="1A22CB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5" w:type="pct"/>
                  <w:vAlign w:val="center"/>
                </w:tcPr>
                <w:p w14:paraId="188E4025">
                  <w:pPr>
                    <w:pStyle w:val="62"/>
                    <w:rPr>
                      <w:rFonts w:cs="Times New Roman"/>
                      <w:color w:val="auto"/>
                      <w:highlight w:val="none"/>
                    </w:rPr>
                  </w:pPr>
                  <w:r>
                    <w:rPr>
                      <w:rFonts w:cs="Times New Roman"/>
                      <w:color w:val="auto"/>
                      <w:highlight w:val="none"/>
                    </w:rPr>
                    <w:t>环境风险</w:t>
                  </w:r>
                </w:p>
              </w:tc>
              <w:tc>
                <w:tcPr>
                  <w:tcW w:w="2010" w:type="pct"/>
                  <w:vAlign w:val="center"/>
                </w:tcPr>
                <w:p w14:paraId="243F781A">
                  <w:pPr>
                    <w:pStyle w:val="62"/>
                    <w:rPr>
                      <w:rFonts w:cs="Times New Roman"/>
                      <w:color w:val="auto"/>
                      <w:highlight w:val="none"/>
                    </w:rPr>
                  </w:pPr>
                  <w:r>
                    <w:rPr>
                      <w:rFonts w:cs="Times New Roman"/>
                      <w:color w:val="auto"/>
                      <w:highlight w:val="none"/>
                    </w:rPr>
                    <w:t>有毒有害和易燃易爆危险物质储存量超过临界量的建设项目</w:t>
                  </w:r>
                </w:p>
              </w:tc>
              <w:tc>
                <w:tcPr>
                  <w:tcW w:w="1634" w:type="pct"/>
                  <w:vAlign w:val="center"/>
                </w:tcPr>
                <w:p w14:paraId="31EF3AD0">
                  <w:pPr>
                    <w:pStyle w:val="62"/>
                    <w:rPr>
                      <w:rFonts w:cs="Times New Roman"/>
                      <w:color w:val="auto"/>
                      <w:highlight w:val="none"/>
                    </w:rPr>
                  </w:pPr>
                  <w:r>
                    <w:rPr>
                      <w:rFonts w:cs="Times New Roman"/>
                      <w:color w:val="auto"/>
                      <w:highlight w:val="none"/>
                    </w:rPr>
                    <w:t>本项目无储存量超过临界量的有毒有害和易燃易爆危险物质。</w:t>
                  </w:r>
                </w:p>
              </w:tc>
              <w:tc>
                <w:tcPr>
                  <w:tcW w:w="569" w:type="pct"/>
                  <w:vMerge w:val="continue"/>
                  <w:vAlign w:val="center"/>
                </w:tcPr>
                <w:p w14:paraId="41B00E56">
                  <w:pPr>
                    <w:pStyle w:val="62"/>
                    <w:rPr>
                      <w:rFonts w:cs="Times New Roman"/>
                      <w:color w:val="auto"/>
                      <w:highlight w:val="none"/>
                    </w:rPr>
                  </w:pPr>
                </w:p>
              </w:tc>
            </w:tr>
            <w:tr w14:paraId="38BD2E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5" w:type="pct"/>
                  <w:vAlign w:val="center"/>
                </w:tcPr>
                <w:p w14:paraId="43EEEAFA">
                  <w:pPr>
                    <w:pStyle w:val="62"/>
                    <w:rPr>
                      <w:rFonts w:cs="Times New Roman"/>
                      <w:color w:val="auto"/>
                      <w:highlight w:val="none"/>
                    </w:rPr>
                  </w:pPr>
                  <w:r>
                    <w:rPr>
                      <w:rFonts w:cs="Times New Roman"/>
                      <w:color w:val="auto"/>
                      <w:highlight w:val="none"/>
                    </w:rPr>
                    <w:t>生态</w:t>
                  </w:r>
                </w:p>
              </w:tc>
              <w:tc>
                <w:tcPr>
                  <w:tcW w:w="2010" w:type="pct"/>
                  <w:vAlign w:val="center"/>
                </w:tcPr>
                <w:p w14:paraId="3FB94014">
                  <w:pPr>
                    <w:pStyle w:val="62"/>
                    <w:rPr>
                      <w:rFonts w:cs="Times New Roman"/>
                      <w:color w:val="auto"/>
                      <w:highlight w:val="none"/>
                    </w:rPr>
                  </w:pPr>
                  <w:r>
                    <w:rPr>
                      <w:rFonts w:cs="Times New Roman"/>
                      <w:color w:val="auto"/>
                      <w:highlight w:val="none"/>
                    </w:rPr>
                    <w:t>取水口下游500米范围内有重要水生生物的自然取卵场、索饵场、越冬场和洄游通道的新增河道取水的污染类建设项目</w:t>
                  </w:r>
                </w:p>
              </w:tc>
              <w:tc>
                <w:tcPr>
                  <w:tcW w:w="1634" w:type="pct"/>
                  <w:vAlign w:val="center"/>
                </w:tcPr>
                <w:p w14:paraId="40DC0F24">
                  <w:pPr>
                    <w:pStyle w:val="62"/>
                    <w:rPr>
                      <w:rFonts w:cs="Times New Roman"/>
                      <w:color w:val="auto"/>
                      <w:highlight w:val="none"/>
                    </w:rPr>
                  </w:pPr>
                  <w:r>
                    <w:rPr>
                      <w:rFonts w:cs="Times New Roman"/>
                      <w:color w:val="auto"/>
                      <w:highlight w:val="none"/>
                    </w:rPr>
                    <w:t>本项目用水依托自来水管网，不采用河道取水。</w:t>
                  </w:r>
                </w:p>
              </w:tc>
              <w:tc>
                <w:tcPr>
                  <w:tcW w:w="569" w:type="pct"/>
                  <w:vMerge w:val="continue"/>
                  <w:vAlign w:val="center"/>
                </w:tcPr>
                <w:p w14:paraId="553DA3AE">
                  <w:pPr>
                    <w:pStyle w:val="62"/>
                    <w:rPr>
                      <w:rFonts w:cs="Times New Roman"/>
                      <w:color w:val="auto"/>
                      <w:highlight w:val="none"/>
                    </w:rPr>
                  </w:pPr>
                </w:p>
              </w:tc>
            </w:tr>
            <w:tr w14:paraId="7918BA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5" w:type="pct"/>
                  <w:vAlign w:val="center"/>
                </w:tcPr>
                <w:p w14:paraId="4CB22629">
                  <w:pPr>
                    <w:pStyle w:val="62"/>
                    <w:rPr>
                      <w:rFonts w:cs="Times New Roman"/>
                      <w:color w:val="auto"/>
                      <w:highlight w:val="none"/>
                    </w:rPr>
                  </w:pPr>
                  <w:r>
                    <w:rPr>
                      <w:rFonts w:cs="Times New Roman"/>
                      <w:color w:val="auto"/>
                      <w:highlight w:val="none"/>
                    </w:rPr>
                    <w:t>海洋</w:t>
                  </w:r>
                </w:p>
              </w:tc>
              <w:tc>
                <w:tcPr>
                  <w:tcW w:w="2010" w:type="pct"/>
                  <w:vAlign w:val="center"/>
                </w:tcPr>
                <w:p w14:paraId="696EC6AA">
                  <w:pPr>
                    <w:pStyle w:val="62"/>
                    <w:rPr>
                      <w:rFonts w:cs="Times New Roman"/>
                      <w:color w:val="auto"/>
                      <w:highlight w:val="none"/>
                    </w:rPr>
                  </w:pPr>
                  <w:r>
                    <w:rPr>
                      <w:rFonts w:cs="Times New Roman"/>
                      <w:color w:val="auto"/>
                      <w:highlight w:val="none"/>
                    </w:rPr>
                    <w:t>直接向海排放污染物的海洋工程建设项目</w:t>
                  </w:r>
                </w:p>
              </w:tc>
              <w:tc>
                <w:tcPr>
                  <w:tcW w:w="1634" w:type="pct"/>
                  <w:vAlign w:val="center"/>
                </w:tcPr>
                <w:p w14:paraId="59C84471">
                  <w:pPr>
                    <w:pStyle w:val="62"/>
                    <w:rPr>
                      <w:rFonts w:cs="Times New Roman"/>
                      <w:color w:val="auto"/>
                      <w:highlight w:val="none"/>
                    </w:rPr>
                  </w:pPr>
                  <w:r>
                    <w:rPr>
                      <w:rFonts w:cs="Times New Roman"/>
                      <w:color w:val="auto"/>
                      <w:highlight w:val="none"/>
                    </w:rPr>
                    <w:t>本项目不属于海洋工程建设项目。</w:t>
                  </w:r>
                </w:p>
              </w:tc>
              <w:tc>
                <w:tcPr>
                  <w:tcW w:w="569" w:type="pct"/>
                  <w:vMerge w:val="continue"/>
                  <w:vAlign w:val="center"/>
                </w:tcPr>
                <w:p w14:paraId="72F69756">
                  <w:pPr>
                    <w:pStyle w:val="62"/>
                    <w:rPr>
                      <w:rFonts w:cs="Times New Roman"/>
                      <w:color w:val="auto"/>
                      <w:highlight w:val="none"/>
                    </w:rPr>
                  </w:pPr>
                </w:p>
              </w:tc>
            </w:tr>
          </w:tbl>
          <w:p w14:paraId="44C4F35E">
            <w:pPr>
              <w:autoSpaceDE w:val="0"/>
              <w:autoSpaceDN w:val="0"/>
              <w:adjustRightInd w:val="0"/>
              <w:snapToGrid w:val="0"/>
              <w:rPr>
                <w:rFonts w:cs="Times New Roman"/>
                <w:color w:val="auto"/>
                <w:highlight w:val="none"/>
              </w:rPr>
            </w:pPr>
          </w:p>
        </w:tc>
      </w:tr>
      <w:tr w14:paraId="1E575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1076" w:type="dxa"/>
            <w:vAlign w:val="center"/>
          </w:tcPr>
          <w:p w14:paraId="286243DB">
            <w:pPr>
              <w:autoSpaceDE w:val="0"/>
              <w:autoSpaceDN w:val="0"/>
              <w:adjustRightInd w:val="0"/>
              <w:snapToGrid w:val="0"/>
              <w:jc w:val="center"/>
              <w:rPr>
                <w:rFonts w:cs="Times New Roman"/>
                <w:color w:val="auto"/>
                <w:highlight w:val="none"/>
              </w:rPr>
            </w:pPr>
            <w:r>
              <w:rPr>
                <w:rFonts w:cs="Times New Roman"/>
                <w:color w:val="auto"/>
                <w:highlight w:val="none"/>
              </w:rPr>
              <w:t>规划情况</w:t>
            </w:r>
          </w:p>
        </w:tc>
        <w:tc>
          <w:tcPr>
            <w:tcW w:w="7794" w:type="dxa"/>
            <w:gridSpan w:val="3"/>
            <w:vAlign w:val="center"/>
          </w:tcPr>
          <w:p w14:paraId="7F5C989A">
            <w:pPr>
              <w:autoSpaceDE w:val="0"/>
              <w:autoSpaceDN w:val="0"/>
              <w:adjustRightInd w:val="0"/>
              <w:spacing w:line="360" w:lineRule="auto"/>
              <w:ind w:firstLine="480" w:firstLineChars="200"/>
              <w:rPr>
                <w:color w:val="auto"/>
                <w:highlight w:val="none"/>
              </w:rPr>
            </w:pPr>
            <w:r>
              <w:rPr>
                <w:rFonts w:cs="Times New Roman"/>
                <w:color w:val="auto"/>
                <w:highlight w:val="none"/>
              </w:rPr>
              <w:t>规划名称：《江阴市月城镇工业园区详细规划及城市设计》（澄环复[2023]30号）</w:t>
            </w:r>
          </w:p>
        </w:tc>
      </w:tr>
      <w:tr w14:paraId="7C23E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1076" w:type="dxa"/>
            <w:vAlign w:val="center"/>
          </w:tcPr>
          <w:p w14:paraId="17479196">
            <w:pPr>
              <w:adjustRightInd w:val="0"/>
              <w:snapToGrid w:val="0"/>
              <w:jc w:val="center"/>
              <w:rPr>
                <w:rFonts w:cs="Times New Roman"/>
                <w:color w:val="auto"/>
                <w:highlight w:val="none"/>
              </w:rPr>
            </w:pPr>
            <w:r>
              <w:rPr>
                <w:rFonts w:cs="Times New Roman"/>
                <w:color w:val="auto"/>
                <w:highlight w:val="none"/>
              </w:rPr>
              <w:t>规划环境影响评价情况</w:t>
            </w:r>
          </w:p>
        </w:tc>
        <w:tc>
          <w:tcPr>
            <w:tcW w:w="7794" w:type="dxa"/>
            <w:gridSpan w:val="3"/>
            <w:vAlign w:val="center"/>
          </w:tcPr>
          <w:p w14:paraId="2FA8F0C6">
            <w:pPr>
              <w:spacing w:line="360" w:lineRule="auto"/>
              <w:ind w:firstLine="480" w:firstLineChars="200"/>
              <w:rPr>
                <w:rFonts w:cs="Times New Roman"/>
                <w:color w:val="auto"/>
                <w:highlight w:val="none"/>
              </w:rPr>
            </w:pPr>
            <w:r>
              <w:rPr>
                <w:rFonts w:cs="Times New Roman"/>
                <w:color w:val="auto"/>
                <w:highlight w:val="none"/>
              </w:rPr>
              <w:t>《江阴市月城镇工业园区开发建设规划（2022-2035年）》环境影响报告书，无锡市江阴生态环境局，</w:t>
            </w:r>
            <w:bookmarkStart w:id="2" w:name="OLE_LINK35"/>
            <w:bookmarkStart w:id="3" w:name="OLE_LINK36"/>
            <w:r>
              <w:rPr>
                <w:rFonts w:cs="Times New Roman"/>
                <w:color w:val="auto"/>
                <w:highlight w:val="none"/>
              </w:rPr>
              <w:t>澄环发</w:t>
            </w:r>
            <w:bookmarkEnd w:id="2"/>
            <w:bookmarkEnd w:id="3"/>
            <w:r>
              <w:rPr>
                <w:rFonts w:cs="Times New Roman"/>
                <w:color w:val="auto"/>
                <w:highlight w:val="none"/>
              </w:rPr>
              <w:t>[2024]50号，2024年12月17日。</w:t>
            </w:r>
          </w:p>
          <w:p w14:paraId="7F29A821">
            <w:pPr>
              <w:spacing w:line="360" w:lineRule="auto"/>
              <w:ind w:firstLine="480" w:firstLineChars="200"/>
              <w:rPr>
                <w:rFonts w:cs="Times New Roman"/>
                <w:color w:val="auto"/>
                <w:highlight w:val="none"/>
              </w:rPr>
            </w:pPr>
            <w:r>
              <w:rPr>
                <w:rFonts w:cs="Times New Roman"/>
                <w:color w:val="auto"/>
                <w:highlight w:val="none"/>
              </w:rPr>
              <w:t>《省政府关于江阴市、宜兴市、锡山区、惠山区、滨湖区、新吴区国土空间总体规划（2021－2035年）的批复》苏政复〔2025〕4号</w:t>
            </w:r>
          </w:p>
        </w:tc>
      </w:tr>
      <w:tr w14:paraId="58816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76" w:hRule="atLeast"/>
          <w:jc w:val="center"/>
        </w:trPr>
        <w:tc>
          <w:tcPr>
            <w:tcW w:w="1076" w:type="dxa"/>
            <w:vAlign w:val="center"/>
          </w:tcPr>
          <w:p w14:paraId="09B26D74">
            <w:pPr>
              <w:autoSpaceDE w:val="0"/>
              <w:autoSpaceDN w:val="0"/>
              <w:adjustRightInd w:val="0"/>
              <w:snapToGrid w:val="0"/>
              <w:jc w:val="center"/>
              <w:rPr>
                <w:rFonts w:cs="Times New Roman"/>
                <w:color w:val="auto"/>
                <w:highlight w:val="none"/>
              </w:rPr>
            </w:pPr>
            <w:r>
              <w:rPr>
                <w:rFonts w:cs="Times New Roman"/>
                <w:color w:val="auto"/>
                <w:highlight w:val="none"/>
              </w:rPr>
              <w:t>规划及规划环境影响评价符合性分析</w:t>
            </w:r>
          </w:p>
        </w:tc>
        <w:tc>
          <w:tcPr>
            <w:tcW w:w="7794" w:type="dxa"/>
            <w:gridSpan w:val="3"/>
            <w:vAlign w:val="center"/>
          </w:tcPr>
          <w:p w14:paraId="2B2228BB">
            <w:pPr>
              <w:pStyle w:val="2"/>
              <w:rPr>
                <w:rFonts w:hint="eastAsia" w:eastAsia="宋体" w:cs="Times New Roman"/>
                <w:color w:val="auto"/>
                <w:highlight w:val="none"/>
                <w:lang w:val="en-US" w:eastAsia="zh-CN"/>
              </w:rPr>
            </w:pPr>
            <w:r>
              <w:rPr>
                <w:rFonts w:hint="eastAsia" w:cs="Times New Roman"/>
                <w:color w:val="auto"/>
                <w:highlight w:val="none"/>
                <w:lang w:val="en-US" w:eastAsia="zh-CN"/>
              </w:rPr>
              <w:t>/</w:t>
            </w:r>
          </w:p>
        </w:tc>
      </w:tr>
      <w:tr w14:paraId="12189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6" w:type="dxa"/>
            <w:vAlign w:val="center"/>
          </w:tcPr>
          <w:p w14:paraId="77266C38">
            <w:pPr>
              <w:autoSpaceDE w:val="0"/>
              <w:autoSpaceDN w:val="0"/>
              <w:adjustRightInd w:val="0"/>
              <w:snapToGrid w:val="0"/>
              <w:jc w:val="center"/>
              <w:rPr>
                <w:rFonts w:cs="Times New Roman"/>
                <w:color w:val="auto"/>
                <w:highlight w:val="none"/>
              </w:rPr>
            </w:pPr>
            <w:r>
              <w:rPr>
                <w:rFonts w:cs="Times New Roman"/>
                <w:color w:val="auto"/>
                <w:highlight w:val="none"/>
              </w:rPr>
              <w:t>其他符合性分析</w:t>
            </w:r>
          </w:p>
        </w:tc>
        <w:tc>
          <w:tcPr>
            <w:tcW w:w="7794" w:type="dxa"/>
            <w:gridSpan w:val="3"/>
            <w:vAlign w:val="center"/>
          </w:tcPr>
          <w:p w14:paraId="1812A066">
            <w:pPr>
              <w:snapToGrid w:val="0"/>
              <w:spacing w:line="360" w:lineRule="auto"/>
              <w:ind w:firstLine="482"/>
              <w:rPr>
                <w:rFonts w:cs="Times New Roman"/>
                <w:b/>
                <w:bCs/>
                <w:color w:val="auto"/>
                <w:highlight w:val="none"/>
              </w:rPr>
            </w:pPr>
            <w:r>
              <w:rPr>
                <w:rFonts w:cs="Times New Roman"/>
                <w:b/>
                <w:bCs/>
                <w:color w:val="auto"/>
                <w:highlight w:val="none"/>
              </w:rPr>
              <w:t>1、三线一单相符性分析</w:t>
            </w:r>
          </w:p>
          <w:p w14:paraId="1DA02CDE">
            <w:pPr>
              <w:adjustRightInd w:val="0"/>
              <w:snapToGrid w:val="0"/>
              <w:spacing w:line="360" w:lineRule="auto"/>
              <w:ind w:firstLine="480" w:firstLineChars="200"/>
              <w:rPr>
                <w:rFonts w:cs="Times New Roman"/>
                <w:color w:val="auto"/>
                <w:highlight w:val="none"/>
              </w:rPr>
            </w:pPr>
            <w:r>
              <w:rPr>
                <w:rFonts w:cs="Times New Roman"/>
                <w:color w:val="auto"/>
                <w:highlight w:val="none"/>
              </w:rPr>
              <w:t>（1）生态红线</w:t>
            </w:r>
          </w:p>
          <w:p w14:paraId="24E602E3">
            <w:pPr>
              <w:autoSpaceDE w:val="0"/>
              <w:autoSpaceDN w:val="0"/>
              <w:adjustRightInd w:val="0"/>
              <w:snapToGrid w:val="0"/>
              <w:spacing w:line="360" w:lineRule="auto"/>
              <w:ind w:firstLine="480" w:firstLineChars="200"/>
              <w:rPr>
                <w:rFonts w:cs="Times New Roman"/>
                <w:color w:val="auto"/>
                <w:highlight w:val="none"/>
              </w:rPr>
            </w:pPr>
            <w:r>
              <w:rPr>
                <w:rFonts w:cs="Times New Roman"/>
                <w:color w:val="auto"/>
                <w:highlight w:val="none"/>
              </w:rPr>
              <w:t>①与《江苏省国家级生态保护红线规划》（苏政发〔2018〕74号）相符性分析</w:t>
            </w:r>
          </w:p>
          <w:p w14:paraId="270987D2">
            <w:pPr>
              <w:autoSpaceDE w:val="0"/>
              <w:autoSpaceDN w:val="0"/>
              <w:adjustRightInd w:val="0"/>
              <w:snapToGrid w:val="0"/>
              <w:spacing w:line="360" w:lineRule="auto"/>
              <w:ind w:firstLine="480" w:firstLineChars="200"/>
              <w:rPr>
                <w:rFonts w:cs="Times New Roman"/>
                <w:color w:val="auto"/>
                <w:highlight w:val="none"/>
              </w:rPr>
            </w:pPr>
            <w:r>
              <w:rPr>
                <w:rFonts w:cs="Times New Roman"/>
                <w:color w:val="auto"/>
                <w:highlight w:val="none"/>
              </w:rPr>
              <w:t>《江苏省国家级生态保护红线规划》（苏政发〔2018〕74号）已于2018年6月9日经江苏省人民政府印发实施。距离本项目最近的生态红线保护区为本项目西南侧4</w:t>
            </w:r>
            <w:r>
              <w:rPr>
                <w:rFonts w:hint="eastAsia" w:cs="Times New Roman"/>
                <w:color w:val="auto"/>
                <w:highlight w:val="none"/>
              </w:rPr>
              <w:t>230</w:t>
            </w:r>
            <w:r>
              <w:rPr>
                <w:rFonts w:cs="Times New Roman"/>
                <w:color w:val="auto"/>
                <w:highlight w:val="none"/>
              </w:rPr>
              <w:t>m处的江阴芙蓉湖省级湿地公园，不在苏政发〔2018〕74号中规划范围之内。</w:t>
            </w:r>
          </w:p>
          <w:p w14:paraId="33AC5676">
            <w:pPr>
              <w:autoSpaceDE w:val="0"/>
              <w:autoSpaceDN w:val="0"/>
              <w:adjustRightInd w:val="0"/>
              <w:snapToGrid w:val="0"/>
              <w:spacing w:line="360" w:lineRule="auto"/>
              <w:ind w:firstLine="480" w:firstLineChars="200"/>
              <w:rPr>
                <w:rFonts w:cs="Times New Roman"/>
                <w:color w:val="auto"/>
                <w:highlight w:val="none"/>
              </w:rPr>
            </w:pPr>
            <w:r>
              <w:rPr>
                <w:rFonts w:cs="Times New Roman"/>
                <w:color w:val="auto"/>
                <w:highlight w:val="none"/>
              </w:rPr>
              <w:t>②与《江苏省生态空间管控区域规划》（苏政发[2020]1号）相符性分析</w:t>
            </w:r>
          </w:p>
          <w:p w14:paraId="757DB82B">
            <w:pPr>
              <w:pStyle w:val="22"/>
              <w:adjustRightInd w:val="0"/>
              <w:snapToGrid w:val="0"/>
              <w:spacing w:after="0" w:line="360" w:lineRule="auto"/>
              <w:ind w:left="0" w:leftChars="0" w:firstLine="480" w:firstLineChars="200"/>
              <w:rPr>
                <w:color w:val="auto"/>
                <w:sz w:val="24"/>
                <w:szCs w:val="24"/>
                <w:highlight w:val="none"/>
              </w:rPr>
            </w:pPr>
            <w:r>
              <w:rPr>
                <w:color w:val="auto"/>
                <w:sz w:val="24"/>
                <w:szCs w:val="24"/>
                <w:highlight w:val="none"/>
              </w:rPr>
              <w:t>《省政府关于印发江苏省生态空间管控区域规划的通知》（苏政发[2020]1号）已于2020年1月8日经江苏省人民政府印发实施。距离本项目最近的生态空间管控区域为本项目西北侧</w:t>
            </w:r>
            <w:r>
              <w:rPr>
                <w:rFonts w:hint="eastAsia"/>
                <w:color w:val="auto"/>
                <w:sz w:val="24"/>
                <w:szCs w:val="24"/>
                <w:highlight w:val="none"/>
              </w:rPr>
              <w:t>4160</w:t>
            </w:r>
            <w:r>
              <w:rPr>
                <w:color w:val="auto"/>
                <w:sz w:val="24"/>
                <w:szCs w:val="24"/>
                <w:highlight w:val="none"/>
              </w:rPr>
              <w:t>m处的江阴市低山生态公益林，不在苏政发[2020]1号中规划范围之内。</w:t>
            </w:r>
          </w:p>
          <w:p w14:paraId="730F3883">
            <w:pPr>
              <w:pStyle w:val="56"/>
              <w:ind w:firstLine="480"/>
              <w:rPr>
                <w:rFonts w:cs="Times New Roman"/>
                <w:color w:val="auto"/>
                <w:highlight w:val="none"/>
              </w:rPr>
            </w:pPr>
            <w:r>
              <w:rPr>
                <w:rFonts w:cs="Times New Roman"/>
                <w:color w:val="auto"/>
                <w:highlight w:val="none"/>
              </w:rPr>
              <w:fldChar w:fldCharType="begin"/>
            </w:r>
            <w:r>
              <w:rPr>
                <w:rFonts w:cs="Times New Roman"/>
                <w:color w:val="auto"/>
                <w:highlight w:val="none"/>
              </w:rPr>
              <w:instrText xml:space="preserve">=3\*GB3</w:instrText>
            </w:r>
            <w:r>
              <w:rPr>
                <w:rFonts w:cs="Times New Roman"/>
                <w:color w:val="auto"/>
                <w:highlight w:val="none"/>
              </w:rPr>
              <w:fldChar w:fldCharType="separate"/>
            </w:r>
            <w:r>
              <w:rPr>
                <w:rFonts w:cs="Times New Roman"/>
                <w:color w:val="auto"/>
                <w:highlight w:val="none"/>
              </w:rPr>
              <w:t>③</w:t>
            </w:r>
            <w:r>
              <w:rPr>
                <w:rFonts w:cs="Times New Roman"/>
                <w:color w:val="auto"/>
                <w:highlight w:val="none"/>
              </w:rPr>
              <w:fldChar w:fldCharType="end"/>
            </w:r>
            <w:r>
              <w:rPr>
                <w:rFonts w:cs="Times New Roman"/>
                <w:color w:val="auto"/>
                <w:highlight w:val="none"/>
              </w:rPr>
              <w:t>对照</w:t>
            </w:r>
            <w:bookmarkStart w:id="4" w:name="OLE_LINK42"/>
            <w:r>
              <w:rPr>
                <w:rFonts w:cs="Times New Roman"/>
                <w:color w:val="auto"/>
                <w:highlight w:val="none"/>
              </w:rPr>
              <w:t>《江阴市国土空间规划近期实施方案》</w:t>
            </w:r>
            <w:bookmarkEnd w:id="4"/>
            <w:r>
              <w:rPr>
                <w:rFonts w:cs="Times New Roman"/>
                <w:color w:val="auto"/>
                <w:highlight w:val="none"/>
              </w:rPr>
              <w:t>的要求，项目位于城镇空间及城镇开发边界内，不在划定的农业空间、生态空间，耕地和永久基本农田、生态保护红线内，符合</w:t>
            </w:r>
            <w:r>
              <w:rPr>
                <w:rFonts w:hint="eastAsia" w:cs="Times New Roman"/>
                <w:color w:val="auto"/>
                <w:highlight w:val="none"/>
              </w:rPr>
              <w:t>“</w:t>
            </w:r>
            <w:r>
              <w:rPr>
                <w:rFonts w:cs="Times New Roman"/>
                <w:color w:val="auto"/>
                <w:highlight w:val="none"/>
              </w:rPr>
              <w:t>三区三线</w:t>
            </w:r>
            <w:r>
              <w:rPr>
                <w:rFonts w:hint="eastAsia" w:cs="Times New Roman"/>
                <w:color w:val="auto"/>
                <w:highlight w:val="none"/>
              </w:rPr>
              <w:t>”</w:t>
            </w:r>
            <w:r>
              <w:rPr>
                <w:rFonts w:cs="Times New Roman"/>
                <w:color w:val="auto"/>
                <w:highlight w:val="none"/>
              </w:rPr>
              <w:t>规划要求。</w:t>
            </w:r>
          </w:p>
          <w:p w14:paraId="2758021E">
            <w:pPr>
              <w:pStyle w:val="22"/>
              <w:snapToGrid w:val="0"/>
              <w:spacing w:after="0" w:line="360" w:lineRule="auto"/>
              <w:ind w:left="480"/>
              <w:rPr>
                <w:bCs/>
                <w:color w:val="auto"/>
                <w:sz w:val="24"/>
                <w:szCs w:val="24"/>
                <w:highlight w:val="none"/>
              </w:rPr>
            </w:pPr>
            <w:r>
              <w:rPr>
                <w:color w:val="auto"/>
                <w:sz w:val="24"/>
                <w:szCs w:val="24"/>
                <w:highlight w:val="none"/>
              </w:rPr>
              <w:t>（2）环境质量底线</w:t>
            </w:r>
          </w:p>
          <w:p w14:paraId="7655FAE8">
            <w:pPr>
              <w:adjustRightInd w:val="0"/>
              <w:snapToGrid w:val="0"/>
              <w:spacing w:line="360" w:lineRule="auto"/>
              <w:ind w:firstLine="480" w:firstLineChars="200"/>
              <w:rPr>
                <w:rFonts w:cs="Times New Roman"/>
                <w:color w:val="auto"/>
                <w:highlight w:val="none"/>
              </w:rPr>
            </w:pPr>
            <w:r>
              <w:rPr>
                <w:rFonts w:cs="Times New Roman"/>
                <w:color w:val="auto"/>
                <w:highlight w:val="none"/>
              </w:rPr>
              <w:t>根据《202</w:t>
            </w:r>
            <w:r>
              <w:rPr>
                <w:rFonts w:hint="eastAsia" w:cs="Times New Roman"/>
                <w:color w:val="auto"/>
                <w:highlight w:val="none"/>
              </w:rPr>
              <w:t>4</w:t>
            </w:r>
            <w:r>
              <w:rPr>
                <w:rFonts w:cs="Times New Roman"/>
                <w:color w:val="auto"/>
                <w:highlight w:val="none"/>
              </w:rPr>
              <w:t>年度江阴市生态环境状况公报》，江阴市SO</w:t>
            </w:r>
            <w:r>
              <w:rPr>
                <w:rFonts w:cs="Times New Roman"/>
                <w:color w:val="auto"/>
                <w:highlight w:val="none"/>
                <w:vertAlign w:val="subscript"/>
              </w:rPr>
              <w:t>2</w:t>
            </w:r>
            <w:r>
              <w:rPr>
                <w:rFonts w:cs="Times New Roman"/>
                <w:color w:val="auto"/>
                <w:highlight w:val="none"/>
              </w:rPr>
              <w:t>、NO</w:t>
            </w:r>
            <w:r>
              <w:rPr>
                <w:rFonts w:cs="Times New Roman"/>
                <w:color w:val="auto"/>
                <w:highlight w:val="none"/>
                <w:vertAlign w:val="subscript"/>
              </w:rPr>
              <w:t>2</w:t>
            </w:r>
            <w:r>
              <w:rPr>
                <w:rFonts w:cs="Times New Roman"/>
                <w:color w:val="auto"/>
                <w:highlight w:val="none"/>
              </w:rPr>
              <w:t>、PM</w:t>
            </w:r>
            <w:r>
              <w:rPr>
                <w:rFonts w:cs="Times New Roman"/>
                <w:color w:val="auto"/>
                <w:highlight w:val="none"/>
                <w:vertAlign w:val="subscript"/>
              </w:rPr>
              <w:t>10</w:t>
            </w:r>
            <w:r>
              <w:rPr>
                <w:rFonts w:cs="Times New Roman"/>
                <w:color w:val="auto"/>
                <w:highlight w:val="none"/>
              </w:rPr>
              <w:t>、PM</w:t>
            </w:r>
            <w:r>
              <w:rPr>
                <w:rFonts w:cs="Times New Roman"/>
                <w:color w:val="auto"/>
                <w:highlight w:val="none"/>
                <w:vertAlign w:val="subscript"/>
              </w:rPr>
              <w:t>2.5</w:t>
            </w:r>
            <w:r>
              <w:rPr>
                <w:rFonts w:cs="Times New Roman"/>
                <w:color w:val="auto"/>
                <w:highlight w:val="none"/>
              </w:rPr>
              <w:t>、CO达标，O</w:t>
            </w:r>
            <w:r>
              <w:rPr>
                <w:rFonts w:cs="Times New Roman"/>
                <w:color w:val="auto"/>
                <w:highlight w:val="none"/>
                <w:vertAlign w:val="subscript"/>
              </w:rPr>
              <w:t>3</w:t>
            </w:r>
            <w:r>
              <w:rPr>
                <w:rFonts w:cs="Times New Roman"/>
                <w:color w:val="auto"/>
                <w:highlight w:val="none"/>
              </w:rPr>
              <w:t>超标，属于不达标区，根据《无锡市大气环境质量限期达标规划》分析内容，通过采取污染防治等措施后，无锡市环境空气质量预计2025年可实现全面达标。</w:t>
            </w:r>
          </w:p>
          <w:p w14:paraId="5B879775">
            <w:pPr>
              <w:adjustRightInd w:val="0"/>
              <w:snapToGrid w:val="0"/>
              <w:spacing w:line="360" w:lineRule="auto"/>
              <w:ind w:firstLine="480" w:firstLineChars="200"/>
              <w:rPr>
                <w:rFonts w:cs="Times New Roman"/>
                <w:color w:val="auto"/>
                <w:highlight w:val="none"/>
              </w:rPr>
            </w:pPr>
            <w:r>
              <w:rPr>
                <w:rFonts w:cs="Times New Roman"/>
                <w:color w:val="auto"/>
                <w:highlight w:val="none"/>
              </w:rPr>
              <w:t>202</w:t>
            </w:r>
            <w:r>
              <w:rPr>
                <w:rFonts w:hint="eastAsia" w:cs="Times New Roman"/>
                <w:color w:val="auto"/>
                <w:highlight w:val="none"/>
              </w:rPr>
              <w:t>4</w:t>
            </w:r>
            <w:r>
              <w:rPr>
                <w:rFonts w:cs="Times New Roman"/>
                <w:color w:val="auto"/>
                <w:highlight w:val="none"/>
              </w:rPr>
              <w:t>年无锡市属于环境空气质量不达标区，为改善无锡市环境空气质量情况，无锡市</w:t>
            </w:r>
            <w:r>
              <w:rPr>
                <w:rFonts w:hint="eastAsia" w:cs="Times New Roman"/>
                <w:color w:val="auto"/>
                <w:highlight w:val="none"/>
                <w:lang w:val="en-US" w:eastAsia="zh-CN"/>
              </w:rPr>
              <w:t>人民</w:t>
            </w:r>
            <w:r>
              <w:rPr>
                <w:rFonts w:cs="Times New Roman"/>
                <w:color w:val="auto"/>
                <w:highlight w:val="none"/>
              </w:rPr>
              <w:t>政府印发《无锡市大气环境质量限期达标规划（2018-2025）》，主要工作任务包括调整产业结构、工业领域全行业全要素达标排放、调整能源结构与控制煤炭消费总量、加强交通行业大气污染防治、推进农业污染防治、加强重污染天气应对等八大类100多项任务和19个重点工程，力争到2025年，全市PM</w:t>
            </w:r>
            <w:r>
              <w:rPr>
                <w:rFonts w:cs="Times New Roman"/>
                <w:color w:val="auto"/>
                <w:highlight w:val="none"/>
                <w:vertAlign w:val="subscript"/>
              </w:rPr>
              <w:t>2.5</w:t>
            </w:r>
            <w:r>
              <w:rPr>
                <w:rFonts w:cs="Times New Roman"/>
                <w:color w:val="auto"/>
                <w:highlight w:val="none"/>
              </w:rPr>
              <w:t>浓度达到35微克/立方米，臭氧浓度达到拐点，除臭氧以外的主要大气污染物浓度达到国家二级标准要求，空气质量优良天数比例达到80%。</w:t>
            </w:r>
          </w:p>
          <w:p w14:paraId="7BCA4309">
            <w:pPr>
              <w:adjustRightInd w:val="0"/>
              <w:snapToGrid w:val="0"/>
              <w:spacing w:line="360" w:lineRule="auto"/>
              <w:ind w:firstLine="480" w:firstLineChars="200"/>
              <w:rPr>
                <w:rFonts w:cs="Times New Roman"/>
                <w:color w:val="auto"/>
                <w:highlight w:val="none"/>
              </w:rPr>
            </w:pPr>
            <w:r>
              <w:rPr>
                <w:rFonts w:cs="Times New Roman"/>
                <w:color w:val="auto"/>
                <w:highlight w:val="none"/>
              </w:rPr>
              <w:t>全厂纳污河流为锡澄运河，根据江苏省地表水（环境）功能区划，锡澄运河水质执行《地表水环境质量标准》(GB3838-2002)中的Ⅲ类标准。本报告依据江阴生态环境局发布的《2024年1-6月重点考核断面水质状况表》（信息索引号：01404053X/2024-03636）进行区域达标性判断，20</w:t>
            </w:r>
            <w:r>
              <w:rPr>
                <w:rFonts w:hint="eastAsia" w:cs="Times New Roman"/>
                <w:color w:val="auto"/>
                <w:highlight w:val="none"/>
              </w:rPr>
              <w:t>24</w:t>
            </w:r>
            <w:r>
              <w:rPr>
                <w:rFonts w:cs="Times New Roman"/>
                <w:color w:val="auto"/>
                <w:highlight w:val="none"/>
              </w:rPr>
              <w:t>年锡澄运河全年总体水质良好。月城镇人民政府已出具《2024年月城镇水环境整治方案》，持续提升月城镇内的水环境质量。</w:t>
            </w:r>
          </w:p>
          <w:p w14:paraId="197AA0D1">
            <w:pPr>
              <w:pStyle w:val="56"/>
              <w:ind w:firstLine="496"/>
              <w:rPr>
                <w:rFonts w:cs="Times New Roman"/>
                <w:color w:val="auto"/>
                <w:highlight w:val="none"/>
              </w:rPr>
            </w:pPr>
            <w:r>
              <w:rPr>
                <w:rFonts w:cs="Times New Roman"/>
                <w:color w:val="auto"/>
                <w:highlight w:val="none"/>
              </w:rPr>
              <w:t>本项目建设地区域噪声可达《声环境质量标准》(GB3096-2008)表1中的3类区标准。</w:t>
            </w:r>
          </w:p>
          <w:p w14:paraId="10781ED0">
            <w:pPr>
              <w:snapToGrid w:val="0"/>
              <w:spacing w:line="360" w:lineRule="auto"/>
              <w:ind w:firstLine="480" w:firstLineChars="200"/>
              <w:rPr>
                <w:rFonts w:cs="Times New Roman"/>
                <w:color w:val="auto"/>
                <w:highlight w:val="none"/>
              </w:rPr>
            </w:pPr>
            <w:r>
              <w:rPr>
                <w:rFonts w:cs="Times New Roman"/>
                <w:color w:val="auto"/>
                <w:highlight w:val="none"/>
              </w:rPr>
              <w:t>（3）资源利用上线</w:t>
            </w:r>
          </w:p>
          <w:p w14:paraId="6B42BD78">
            <w:pPr>
              <w:pStyle w:val="56"/>
              <w:ind w:firstLine="496"/>
              <w:rPr>
                <w:rFonts w:cs="Times New Roman"/>
                <w:color w:val="auto"/>
                <w:highlight w:val="none"/>
              </w:rPr>
            </w:pPr>
            <w:r>
              <w:rPr>
                <w:rFonts w:cs="Times New Roman"/>
                <w:color w:val="auto"/>
                <w:highlight w:val="none"/>
              </w:rPr>
              <w:t>本项目生产过程中消耗一定量的水、电，项目资源消耗量占区域资源利用总量较少，符合资源利用上线要求。</w:t>
            </w:r>
          </w:p>
          <w:p w14:paraId="7A6B8F5D">
            <w:pPr>
              <w:pStyle w:val="56"/>
              <w:adjustRightInd w:val="0"/>
              <w:ind w:firstLine="496"/>
              <w:rPr>
                <w:rFonts w:cs="Times New Roman"/>
                <w:color w:val="auto"/>
                <w:highlight w:val="none"/>
              </w:rPr>
            </w:pPr>
            <w:r>
              <w:rPr>
                <w:rFonts w:cs="Times New Roman"/>
                <w:color w:val="auto"/>
                <w:highlight w:val="none"/>
              </w:rPr>
              <w:t>（4）环境准入负面清单</w:t>
            </w:r>
          </w:p>
          <w:p w14:paraId="0B67DCD9">
            <w:pPr>
              <w:pStyle w:val="121"/>
              <w:ind w:firstLine="480"/>
              <w:rPr>
                <w:color w:val="auto"/>
                <w:sz w:val="24"/>
                <w:szCs w:val="24"/>
                <w:highlight w:val="none"/>
              </w:rPr>
            </w:pPr>
            <w:r>
              <w:rPr>
                <w:color w:val="auto"/>
                <w:sz w:val="24"/>
                <w:szCs w:val="24"/>
                <w:highlight w:val="none"/>
              </w:rPr>
              <w:t>对照《江苏省2023年度生态环境分区管控动态更新成果公告》（江苏省生态环境厅，2024年6月13日），通过叠图分析，本项目在江苏省重点管控单元内，详见附图5，本项目与江苏省</w:t>
            </w:r>
            <w:r>
              <w:rPr>
                <w:rFonts w:hint="eastAsia"/>
                <w:bCs/>
                <w:color w:val="auto"/>
                <w:sz w:val="24"/>
                <w:szCs w:val="24"/>
                <w:highlight w:val="none"/>
              </w:rPr>
              <w:t>“</w:t>
            </w:r>
            <w:r>
              <w:rPr>
                <w:bCs/>
                <w:color w:val="auto"/>
                <w:sz w:val="24"/>
                <w:szCs w:val="24"/>
                <w:highlight w:val="none"/>
              </w:rPr>
              <w:t>三线一单</w:t>
            </w:r>
            <w:r>
              <w:rPr>
                <w:rFonts w:hint="eastAsia"/>
                <w:bCs/>
                <w:color w:val="auto"/>
                <w:sz w:val="24"/>
                <w:szCs w:val="24"/>
                <w:highlight w:val="none"/>
              </w:rPr>
              <w:t>”</w:t>
            </w:r>
            <w:r>
              <w:rPr>
                <w:bCs/>
                <w:color w:val="auto"/>
                <w:sz w:val="24"/>
                <w:szCs w:val="24"/>
                <w:highlight w:val="none"/>
              </w:rPr>
              <w:t>生态环境</w:t>
            </w:r>
            <w:r>
              <w:rPr>
                <w:color w:val="auto"/>
                <w:sz w:val="24"/>
                <w:szCs w:val="24"/>
                <w:highlight w:val="none"/>
              </w:rPr>
              <w:t>分区管控要求的相符性对照见下表。</w:t>
            </w:r>
          </w:p>
          <w:p w14:paraId="32C76EF8">
            <w:pPr>
              <w:pStyle w:val="121"/>
              <w:ind w:firstLine="480"/>
              <w:rPr>
                <w:color w:val="auto"/>
                <w:sz w:val="24"/>
                <w:szCs w:val="24"/>
                <w:highlight w:val="none"/>
              </w:rPr>
            </w:pPr>
          </w:p>
          <w:p w14:paraId="62589EB7">
            <w:pPr>
              <w:pStyle w:val="121"/>
              <w:ind w:firstLine="480"/>
              <w:rPr>
                <w:color w:val="auto"/>
                <w:sz w:val="24"/>
                <w:szCs w:val="24"/>
                <w:highlight w:val="none"/>
              </w:rPr>
            </w:pPr>
          </w:p>
          <w:p w14:paraId="37209023">
            <w:pPr>
              <w:pStyle w:val="121"/>
              <w:ind w:firstLine="480"/>
              <w:rPr>
                <w:color w:val="auto"/>
                <w:sz w:val="24"/>
                <w:szCs w:val="24"/>
                <w:highlight w:val="none"/>
              </w:rPr>
            </w:pPr>
          </w:p>
          <w:p w14:paraId="7B8D46F7">
            <w:pPr>
              <w:pStyle w:val="121"/>
              <w:ind w:firstLine="480"/>
              <w:rPr>
                <w:color w:val="auto"/>
                <w:sz w:val="24"/>
                <w:szCs w:val="24"/>
                <w:highlight w:val="none"/>
              </w:rPr>
            </w:pPr>
          </w:p>
          <w:p w14:paraId="089DCA4D">
            <w:pPr>
              <w:pStyle w:val="121"/>
              <w:ind w:firstLine="480"/>
              <w:rPr>
                <w:color w:val="auto"/>
                <w:sz w:val="24"/>
                <w:szCs w:val="24"/>
                <w:highlight w:val="none"/>
              </w:rPr>
            </w:pPr>
          </w:p>
          <w:p w14:paraId="18D027C7">
            <w:pPr>
              <w:pStyle w:val="121"/>
              <w:ind w:firstLine="480"/>
              <w:rPr>
                <w:color w:val="auto"/>
                <w:sz w:val="24"/>
                <w:szCs w:val="24"/>
                <w:highlight w:val="none"/>
              </w:rPr>
            </w:pPr>
          </w:p>
          <w:p w14:paraId="4B11E259">
            <w:pPr>
              <w:pStyle w:val="121"/>
              <w:ind w:firstLine="480"/>
              <w:rPr>
                <w:color w:val="auto"/>
                <w:sz w:val="24"/>
                <w:szCs w:val="24"/>
                <w:highlight w:val="none"/>
              </w:rPr>
            </w:pPr>
          </w:p>
          <w:p w14:paraId="47586791">
            <w:pPr>
              <w:pStyle w:val="121"/>
              <w:ind w:firstLine="480"/>
              <w:rPr>
                <w:color w:val="auto"/>
                <w:sz w:val="24"/>
                <w:szCs w:val="24"/>
                <w:highlight w:val="none"/>
              </w:rPr>
            </w:pPr>
          </w:p>
          <w:p w14:paraId="1FDF9A3B">
            <w:pPr>
              <w:pStyle w:val="121"/>
              <w:ind w:firstLine="480"/>
              <w:rPr>
                <w:color w:val="auto"/>
                <w:sz w:val="24"/>
                <w:szCs w:val="24"/>
                <w:highlight w:val="none"/>
              </w:rPr>
            </w:pPr>
          </w:p>
          <w:p w14:paraId="199C09D1">
            <w:pPr>
              <w:pStyle w:val="121"/>
              <w:ind w:firstLine="480"/>
              <w:rPr>
                <w:color w:val="auto"/>
                <w:sz w:val="24"/>
                <w:szCs w:val="24"/>
                <w:highlight w:val="none"/>
              </w:rPr>
            </w:pPr>
          </w:p>
          <w:p w14:paraId="1126AA29">
            <w:pPr>
              <w:pStyle w:val="121"/>
              <w:ind w:firstLine="480"/>
              <w:rPr>
                <w:color w:val="auto"/>
                <w:sz w:val="24"/>
                <w:szCs w:val="24"/>
                <w:highlight w:val="none"/>
              </w:rPr>
            </w:pPr>
          </w:p>
          <w:p w14:paraId="65FED573">
            <w:pPr>
              <w:pStyle w:val="23"/>
              <w:rPr>
                <w:snapToGrid w:val="0"/>
                <w:color w:val="auto"/>
                <w:highlight w:val="none"/>
              </w:rPr>
            </w:pPr>
          </w:p>
          <w:p w14:paraId="7C4F87C6">
            <w:pPr>
              <w:pStyle w:val="23"/>
              <w:rPr>
                <w:snapToGrid w:val="0"/>
                <w:color w:val="auto"/>
                <w:highlight w:val="none"/>
              </w:rPr>
            </w:pPr>
          </w:p>
        </w:tc>
      </w:tr>
    </w:tbl>
    <w:p w14:paraId="55AA0DF7">
      <w:pPr>
        <w:spacing w:before="100" w:beforeAutospacing="1" w:after="100" w:afterAutospacing="1"/>
        <w:ind w:firstLine="600"/>
        <w:jc w:val="center"/>
        <w:outlineLvl w:val="0"/>
        <w:rPr>
          <w:snapToGrid w:val="0"/>
          <w:color w:val="auto"/>
          <w:sz w:val="30"/>
          <w:szCs w:val="30"/>
          <w:highlight w:val="none"/>
          <w:lang w:val="zh-CN"/>
        </w:rPr>
      </w:pPr>
      <w:r>
        <w:rPr>
          <w:rFonts w:hint="eastAsia"/>
          <w:snapToGrid w:val="0"/>
          <w:color w:val="auto"/>
          <w:sz w:val="30"/>
          <w:szCs w:val="30"/>
          <w:highlight w:val="none"/>
          <w:lang w:val="zh-CN"/>
        </w:rPr>
        <w:t>二、建设项目工程分析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7729"/>
      </w:tblGrid>
      <w:tr w14:paraId="1D240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6" w:hRule="atLeast"/>
          <w:jc w:val="center"/>
        </w:trPr>
        <w:tc>
          <w:tcPr>
            <w:tcW w:w="557" w:type="dxa"/>
            <w:vAlign w:val="center"/>
          </w:tcPr>
          <w:p w14:paraId="77E69AFD">
            <w:pPr>
              <w:pStyle w:val="56"/>
              <w:ind w:firstLine="0" w:firstLineChars="0"/>
              <w:rPr>
                <w:color w:val="auto"/>
                <w:highlight w:val="none"/>
              </w:rPr>
            </w:pPr>
            <w:r>
              <w:rPr>
                <w:rFonts w:hint="eastAsia"/>
                <w:color w:val="auto"/>
                <w:highlight w:val="none"/>
              </w:rPr>
              <w:t>建设内容</w:t>
            </w:r>
          </w:p>
        </w:tc>
        <w:tc>
          <w:tcPr>
            <w:tcW w:w="7729" w:type="dxa"/>
          </w:tcPr>
          <w:p w14:paraId="64D4C914">
            <w:pPr>
              <w:pStyle w:val="56"/>
              <w:ind w:firstLine="498"/>
              <w:rPr>
                <w:b/>
                <w:color w:val="auto"/>
                <w:highlight w:val="none"/>
              </w:rPr>
            </w:pPr>
            <w:r>
              <w:rPr>
                <w:b/>
                <w:color w:val="auto"/>
                <w:highlight w:val="none"/>
              </w:rPr>
              <w:t>1</w:t>
            </w:r>
            <w:r>
              <w:rPr>
                <w:rFonts w:hint="eastAsia"/>
                <w:b/>
                <w:color w:val="auto"/>
                <w:highlight w:val="none"/>
              </w:rPr>
              <w:t>、项目概况</w:t>
            </w:r>
          </w:p>
          <w:p w14:paraId="5232F721">
            <w:pPr>
              <w:pStyle w:val="56"/>
              <w:ind w:firstLine="496"/>
              <w:rPr>
                <w:color w:val="auto"/>
                <w:highlight w:val="none"/>
              </w:rPr>
            </w:pPr>
            <w:r>
              <w:rPr>
                <w:rFonts w:hint="eastAsia"/>
                <w:color w:val="auto"/>
                <w:highlight w:val="none"/>
              </w:rPr>
              <w:t>江阴市厚正玻璃制品有限公司成立于</w:t>
            </w:r>
            <w:bookmarkStart w:id="5" w:name="_Hlk165031237"/>
            <w:r>
              <w:rPr>
                <w:color w:val="auto"/>
                <w:highlight w:val="none"/>
              </w:rPr>
              <w:t>20</w:t>
            </w:r>
            <w:r>
              <w:rPr>
                <w:rFonts w:hint="eastAsia"/>
                <w:color w:val="auto"/>
                <w:highlight w:val="none"/>
              </w:rPr>
              <w:t>24年</w:t>
            </w:r>
            <w:r>
              <w:rPr>
                <w:color w:val="auto"/>
                <w:highlight w:val="none"/>
              </w:rPr>
              <w:t>11</w:t>
            </w:r>
            <w:r>
              <w:rPr>
                <w:rFonts w:hint="eastAsia"/>
                <w:color w:val="auto"/>
                <w:highlight w:val="none"/>
              </w:rPr>
              <w:t>月26日</w:t>
            </w:r>
            <w:bookmarkEnd w:id="5"/>
            <w:r>
              <w:rPr>
                <w:rFonts w:hint="eastAsia"/>
                <w:color w:val="auto"/>
                <w:highlight w:val="none"/>
              </w:rPr>
              <w:t>，位于江阴市月城镇工业园区锡澄路1110号，主要从事未封口玻璃外壳及其他玻璃制品制造；技术玻璃制品制造；技术玻璃制品销售；日用玻璃制品销售；塑料制品制造；工艺美术品及礼仪用品制造（象牙及其制品除外）；工艺美术品及礼仪用品销售（象牙及其制品除外）；工艺美术品及收藏品零售（象牙及其制品除外）。</w:t>
            </w:r>
          </w:p>
          <w:p w14:paraId="083F984A">
            <w:pPr>
              <w:pStyle w:val="56"/>
              <w:ind w:firstLine="496"/>
              <w:rPr>
                <w:bCs/>
                <w:color w:val="auto"/>
                <w:highlight w:val="none"/>
              </w:rPr>
            </w:pPr>
            <w:r>
              <w:rPr>
                <w:rFonts w:hint="eastAsia"/>
                <w:bCs/>
                <w:color w:val="auto"/>
                <w:highlight w:val="none"/>
              </w:rPr>
              <w:t>为适应市场发展需求，企业租用江阴市康立医疗器材有限公司厂房750平米，购置国产设备筛珠机、烤亮机、洗珠桶、离心机、烘箱等设备23台（套），项目投产后，年产服饰辅料玻璃珠1200吨。</w:t>
            </w:r>
          </w:p>
          <w:p w14:paraId="0AC2068F">
            <w:pPr>
              <w:pStyle w:val="56"/>
              <w:ind w:firstLine="496"/>
              <w:rPr>
                <w:color w:val="auto"/>
                <w:highlight w:val="none"/>
              </w:rPr>
            </w:pPr>
            <w:r>
              <w:rPr>
                <w:rFonts w:hint="eastAsia"/>
                <w:bCs/>
                <w:color w:val="auto"/>
                <w:highlight w:val="none"/>
              </w:rPr>
              <w:t>根据《中华人民共和国环境影响评价法》第十六条“国家根据建设项目对环境的影响程度，对建设项目的环境影响评价实行分类管理。”经查阅《建设项目环境影响评价分类管理名录》（2021年版）</w:t>
            </w:r>
            <w:r>
              <w:rPr>
                <w:rFonts w:hint="eastAsia"/>
                <w:color w:val="auto"/>
                <w:highlight w:val="none"/>
              </w:rPr>
              <w:t>，本项目属于“二十七、非金属矿物制品业30，57玻璃制造304，玻璃制品制造305”，应该编制环境影响报告表。</w:t>
            </w:r>
          </w:p>
          <w:p w14:paraId="50824DDA">
            <w:pPr>
              <w:pStyle w:val="56"/>
              <w:ind w:firstLine="496"/>
              <w:rPr>
                <w:color w:val="auto"/>
                <w:highlight w:val="none"/>
              </w:rPr>
            </w:pPr>
            <w:r>
              <w:rPr>
                <w:rFonts w:hint="eastAsia"/>
                <w:color w:val="auto"/>
                <w:highlight w:val="none"/>
              </w:rPr>
              <w:t>江阴市厚正玻璃制品有限公司委托南京师大环境科技研究院有限公司对该项目进行环境影响评价工作。接受委托后，南京师大环境科技研究院有限公司即组织有关技术人员进行现场勘察、收集资料。依据国家环境保护有关法律、法规文件和环境影响评价技术导则，编制了该项目环境影响报告表，报请环境保护行政主管部门审查、审批，以期为该项目实施和管理提供参考依据。</w:t>
            </w:r>
          </w:p>
          <w:p w14:paraId="31F17CFD">
            <w:pPr>
              <w:pStyle w:val="56"/>
              <w:ind w:firstLine="498"/>
              <w:rPr>
                <w:b/>
                <w:color w:val="auto"/>
                <w:highlight w:val="none"/>
              </w:rPr>
            </w:pPr>
            <w:r>
              <w:rPr>
                <w:b/>
                <w:color w:val="auto"/>
                <w:highlight w:val="none"/>
              </w:rPr>
              <w:t>2</w:t>
            </w:r>
            <w:r>
              <w:rPr>
                <w:rFonts w:hint="eastAsia"/>
                <w:b/>
                <w:color w:val="auto"/>
                <w:highlight w:val="none"/>
              </w:rPr>
              <w:t>、工程内容及建设规模</w:t>
            </w:r>
          </w:p>
          <w:p w14:paraId="14E1EE89">
            <w:pPr>
              <w:pStyle w:val="56"/>
              <w:ind w:firstLine="496"/>
              <w:rPr>
                <w:color w:val="auto"/>
                <w:highlight w:val="none"/>
              </w:rPr>
            </w:pPr>
            <w:r>
              <w:rPr>
                <w:color w:val="auto"/>
                <w:highlight w:val="none"/>
              </w:rPr>
              <w:t>3</w:t>
            </w:r>
            <w:r>
              <w:rPr>
                <w:rFonts w:hint="eastAsia"/>
                <w:color w:val="auto"/>
                <w:highlight w:val="none"/>
              </w:rPr>
              <w:t>、原辅材料及理化性质</w:t>
            </w:r>
          </w:p>
          <w:p w14:paraId="5B404D6B">
            <w:pPr>
              <w:tabs>
                <w:tab w:val="left" w:pos="3345"/>
              </w:tabs>
              <w:spacing w:line="360" w:lineRule="auto"/>
              <w:ind w:firstLine="480" w:firstLineChars="200"/>
              <w:textAlignment w:val="baseline"/>
              <w:rPr>
                <w:bCs/>
                <w:color w:val="auto"/>
                <w:highlight w:val="none"/>
                <w:lang w:val="zh-CN"/>
              </w:rPr>
            </w:pPr>
            <w:r>
              <w:rPr>
                <w:bCs/>
                <w:color w:val="auto"/>
                <w:szCs w:val="20"/>
                <w:highlight w:val="none"/>
                <w:lang w:val="zh-CN"/>
              </w:rPr>
              <w:t>4</w:t>
            </w:r>
            <w:r>
              <w:rPr>
                <w:rFonts w:hint="eastAsia"/>
                <w:bCs/>
                <w:color w:val="auto"/>
                <w:szCs w:val="20"/>
                <w:highlight w:val="none"/>
                <w:lang w:val="zh-CN"/>
              </w:rPr>
              <w:t>、主要设备</w:t>
            </w:r>
          </w:p>
          <w:p w14:paraId="12308C90">
            <w:pPr>
              <w:pStyle w:val="56"/>
              <w:ind w:firstLine="496"/>
              <w:rPr>
                <w:color w:val="auto"/>
                <w:highlight w:val="none"/>
              </w:rPr>
            </w:pPr>
            <w:r>
              <w:rPr>
                <w:color w:val="auto"/>
                <w:highlight w:val="none"/>
              </w:rPr>
              <w:t>5</w:t>
            </w:r>
            <w:r>
              <w:rPr>
                <w:rFonts w:hint="eastAsia"/>
                <w:color w:val="auto"/>
                <w:highlight w:val="none"/>
              </w:rPr>
              <w:t>、建设项目地理位置、厂区平面布置及厂界周围</w:t>
            </w:r>
            <w:r>
              <w:rPr>
                <w:color w:val="auto"/>
                <w:highlight w:val="none"/>
              </w:rPr>
              <w:t>500</w:t>
            </w:r>
            <w:r>
              <w:rPr>
                <w:rFonts w:hint="eastAsia"/>
                <w:color w:val="auto"/>
                <w:highlight w:val="none"/>
              </w:rPr>
              <w:t>米土地利用现状</w:t>
            </w:r>
          </w:p>
          <w:p w14:paraId="6B8D37CB">
            <w:pPr>
              <w:pStyle w:val="56"/>
              <w:ind w:firstLine="496"/>
              <w:rPr>
                <w:color w:val="auto"/>
                <w:highlight w:val="none"/>
              </w:rPr>
            </w:pPr>
            <w:r>
              <w:rPr>
                <w:rFonts w:hint="eastAsia"/>
                <w:color w:val="auto"/>
                <w:highlight w:val="none"/>
              </w:rPr>
              <w:t>地理位置：江苏省无锡市江阴市月城镇工业园区锡澄路1110号，具体地理位置见附图</w:t>
            </w:r>
            <w:r>
              <w:rPr>
                <w:color w:val="auto"/>
                <w:highlight w:val="none"/>
              </w:rPr>
              <w:t>1</w:t>
            </w:r>
            <w:r>
              <w:rPr>
                <w:rFonts w:hint="eastAsia"/>
                <w:color w:val="auto"/>
                <w:highlight w:val="none"/>
              </w:rPr>
              <w:t>。</w:t>
            </w:r>
          </w:p>
          <w:p w14:paraId="23A24B87">
            <w:pPr>
              <w:pStyle w:val="56"/>
              <w:ind w:firstLine="496"/>
              <w:rPr>
                <w:color w:val="auto"/>
                <w:highlight w:val="none"/>
              </w:rPr>
            </w:pPr>
            <w:r>
              <w:rPr>
                <w:rFonts w:hint="eastAsia"/>
                <w:color w:val="auto"/>
                <w:highlight w:val="none"/>
              </w:rPr>
              <w:t>厂区平面布置：本项目利用租赁厂房进行建设，</w:t>
            </w:r>
            <w:r>
              <w:rPr>
                <w:rFonts w:hint="eastAsia"/>
                <w:color w:val="auto"/>
                <w:highlight w:val="none"/>
                <w:lang w:val="en-US" w:eastAsia="zh-CN"/>
              </w:rPr>
              <w:t>租赁江阴市康立医疗器材有限公司两个车间中的两块区域，按照生产特点及工艺需求，在厂区内闲置区域进行建设，新建服饰辅料玻璃珠生产线，北侧车间为原辅料仓库、烤亮区及检验区；南侧车间为原辅料仓库、废水处理设施、水洗区及离心烘干区。</w:t>
            </w:r>
            <w:r>
              <w:rPr>
                <w:rFonts w:hint="eastAsia"/>
                <w:color w:val="auto"/>
                <w:highlight w:val="none"/>
              </w:rPr>
              <w:t>建设项目厂区平面布置具体见附图</w:t>
            </w:r>
            <w:r>
              <w:rPr>
                <w:color w:val="auto"/>
                <w:highlight w:val="none"/>
              </w:rPr>
              <w:t>3</w:t>
            </w:r>
            <w:r>
              <w:rPr>
                <w:rFonts w:hint="eastAsia"/>
                <w:color w:val="auto"/>
                <w:highlight w:val="none"/>
              </w:rPr>
              <w:t>。</w:t>
            </w:r>
          </w:p>
          <w:p w14:paraId="2438395C">
            <w:pPr>
              <w:pStyle w:val="56"/>
              <w:ind w:firstLine="496"/>
              <w:rPr>
                <w:color w:val="auto"/>
                <w:highlight w:val="none"/>
              </w:rPr>
            </w:pPr>
            <w:r>
              <w:rPr>
                <w:rFonts w:hint="eastAsia"/>
                <w:color w:val="auto"/>
                <w:highlight w:val="none"/>
                <w:lang w:val="zh-CN"/>
              </w:rPr>
              <w:t>建设项目厂界周围</w:t>
            </w:r>
            <w:r>
              <w:rPr>
                <w:color w:val="auto"/>
                <w:highlight w:val="none"/>
                <w:lang w:val="zh-CN"/>
              </w:rPr>
              <w:t>500</w:t>
            </w:r>
            <w:r>
              <w:rPr>
                <w:rFonts w:hint="eastAsia"/>
                <w:color w:val="auto"/>
                <w:highlight w:val="none"/>
                <w:lang w:val="zh-CN"/>
              </w:rPr>
              <w:t>米土地利用现状：项目位于</w:t>
            </w:r>
            <w:r>
              <w:rPr>
                <w:rFonts w:hint="eastAsia"/>
                <w:color w:val="auto"/>
                <w:highlight w:val="none"/>
              </w:rPr>
              <w:t>江苏省无锡市江阴市月城镇工业园区锡澄路1110号</w:t>
            </w:r>
            <w:r>
              <w:rPr>
                <w:rFonts w:hint="eastAsia"/>
                <w:color w:val="auto"/>
                <w:highlight w:val="none"/>
                <w:lang w:val="zh-CN"/>
              </w:rPr>
              <w:t>，根据现场勘查，项目厂房西侧为</w:t>
            </w:r>
            <w:r>
              <w:rPr>
                <w:rFonts w:hint="eastAsia"/>
                <w:color w:val="auto"/>
                <w:highlight w:val="none"/>
              </w:rPr>
              <w:t>江阴市伦一金属制品有限公司等企业</w:t>
            </w:r>
            <w:r>
              <w:rPr>
                <w:rFonts w:hint="eastAsia"/>
                <w:color w:val="auto"/>
                <w:highlight w:val="none"/>
                <w:lang w:val="zh-CN"/>
              </w:rPr>
              <w:t>，北侧为</w:t>
            </w:r>
            <w:r>
              <w:rPr>
                <w:rFonts w:hint="eastAsia"/>
                <w:color w:val="auto"/>
                <w:highlight w:val="none"/>
              </w:rPr>
              <w:t>江阴亨优食品有限公司、江阴市江南化学清洗钢瓶检测有限公司等企业</w:t>
            </w:r>
            <w:r>
              <w:rPr>
                <w:rFonts w:hint="eastAsia"/>
                <w:color w:val="auto"/>
                <w:highlight w:val="none"/>
                <w:lang w:val="zh-CN"/>
              </w:rPr>
              <w:t>，东侧</w:t>
            </w:r>
            <w:r>
              <w:rPr>
                <w:rFonts w:hint="eastAsia"/>
                <w:color w:val="auto"/>
                <w:highlight w:val="none"/>
              </w:rPr>
              <w:t>隔锡澄路</w:t>
            </w:r>
            <w:r>
              <w:rPr>
                <w:rFonts w:hint="eastAsia"/>
                <w:color w:val="auto"/>
                <w:highlight w:val="none"/>
                <w:lang w:val="zh-CN"/>
              </w:rPr>
              <w:t>为</w:t>
            </w:r>
            <w:r>
              <w:rPr>
                <w:rFonts w:hint="eastAsia"/>
                <w:color w:val="auto"/>
                <w:highlight w:val="none"/>
              </w:rPr>
              <w:t>无锡樱花梦美容制品有限公司等企业，</w:t>
            </w:r>
            <w:r>
              <w:rPr>
                <w:rFonts w:hint="eastAsia"/>
                <w:color w:val="auto"/>
                <w:highlight w:val="none"/>
                <w:lang w:val="zh-CN"/>
              </w:rPr>
              <w:t>南侧为</w:t>
            </w:r>
            <w:r>
              <w:rPr>
                <w:rFonts w:hint="eastAsia"/>
                <w:color w:val="auto"/>
                <w:highlight w:val="none"/>
              </w:rPr>
              <w:t>江阴市永芳印刷有限公司等企业</w:t>
            </w:r>
            <w:r>
              <w:rPr>
                <w:rFonts w:hint="eastAsia"/>
                <w:color w:val="auto"/>
                <w:highlight w:val="none"/>
                <w:lang w:val="zh-CN"/>
              </w:rPr>
              <w:t>。最近敏感目标为本项目</w:t>
            </w:r>
            <w:r>
              <w:rPr>
                <w:rFonts w:hint="eastAsia"/>
                <w:color w:val="auto"/>
                <w:highlight w:val="none"/>
              </w:rPr>
              <w:t>北侧52米处的戴庄村村民委员会</w:t>
            </w:r>
            <w:r>
              <w:rPr>
                <w:rFonts w:hint="eastAsia"/>
                <w:color w:val="auto"/>
                <w:highlight w:val="none"/>
                <w:lang w:val="zh-CN"/>
              </w:rPr>
              <w:t>。建设项目厂界周围</w:t>
            </w:r>
            <w:r>
              <w:rPr>
                <w:color w:val="auto"/>
                <w:highlight w:val="none"/>
                <w:lang w:val="zh-CN"/>
              </w:rPr>
              <w:t>500</w:t>
            </w:r>
            <w:r>
              <w:rPr>
                <w:rFonts w:hint="eastAsia"/>
                <w:color w:val="auto"/>
                <w:highlight w:val="none"/>
                <w:lang w:val="zh-CN"/>
              </w:rPr>
              <w:t>米内土地利用现状见附图</w:t>
            </w:r>
            <w:r>
              <w:rPr>
                <w:color w:val="auto"/>
                <w:highlight w:val="none"/>
                <w:lang w:val="zh-CN"/>
              </w:rPr>
              <w:t>2</w:t>
            </w:r>
            <w:r>
              <w:rPr>
                <w:rFonts w:hint="eastAsia"/>
                <w:color w:val="auto"/>
                <w:highlight w:val="none"/>
                <w:lang w:val="zh-CN"/>
              </w:rPr>
              <w:t>。</w:t>
            </w:r>
          </w:p>
          <w:p w14:paraId="1BFD448F">
            <w:pPr>
              <w:pStyle w:val="56"/>
              <w:ind w:firstLine="496"/>
              <w:rPr>
                <w:color w:val="auto"/>
                <w:highlight w:val="none"/>
              </w:rPr>
            </w:pPr>
            <w:r>
              <w:rPr>
                <w:color w:val="auto"/>
                <w:highlight w:val="none"/>
              </w:rPr>
              <w:t>6</w:t>
            </w:r>
            <w:r>
              <w:rPr>
                <w:rFonts w:hint="eastAsia"/>
                <w:color w:val="auto"/>
                <w:highlight w:val="none"/>
              </w:rPr>
              <w:t>、工作制度及劳动定员</w:t>
            </w:r>
          </w:p>
          <w:p w14:paraId="5E3BD606">
            <w:pPr>
              <w:snapToGrid w:val="0"/>
              <w:spacing w:line="360" w:lineRule="auto"/>
              <w:ind w:firstLine="480" w:firstLineChars="200"/>
              <w:rPr>
                <w:rFonts w:cs="Times New Roman"/>
                <w:color w:val="auto"/>
                <w:highlight w:val="none"/>
              </w:rPr>
            </w:pPr>
            <w:r>
              <w:rPr>
                <w:rFonts w:hint="eastAsia"/>
                <w:color w:val="auto"/>
                <w:highlight w:val="none"/>
              </w:rPr>
              <w:t>工作制度：本项目实行“三班”8小时工作制，年有效工作日为</w:t>
            </w:r>
            <w:r>
              <w:rPr>
                <w:color w:val="auto"/>
                <w:highlight w:val="none"/>
              </w:rPr>
              <w:t>300</w:t>
            </w:r>
            <w:r>
              <w:rPr>
                <w:rFonts w:hint="eastAsia"/>
                <w:color w:val="auto"/>
                <w:highlight w:val="none"/>
              </w:rPr>
              <w:t>天，全年工作小时数约7</w:t>
            </w:r>
            <w:r>
              <w:rPr>
                <w:color w:val="auto"/>
                <w:highlight w:val="none"/>
              </w:rPr>
              <w:t>200h</w:t>
            </w:r>
            <w:r>
              <w:rPr>
                <w:rFonts w:hint="eastAsia"/>
                <w:color w:val="auto"/>
                <w:highlight w:val="none"/>
              </w:rPr>
              <w:t>；其中水洗工序为每天8h，年有效工作日为300天，全年工作小时数约2400h。</w:t>
            </w:r>
          </w:p>
          <w:p w14:paraId="388E873C">
            <w:pPr>
              <w:snapToGrid w:val="0"/>
              <w:spacing w:line="360" w:lineRule="auto"/>
              <w:ind w:firstLine="480"/>
              <w:rPr>
                <w:bCs/>
                <w:color w:val="auto"/>
                <w:highlight w:val="none"/>
              </w:rPr>
            </w:pPr>
            <w:r>
              <w:rPr>
                <w:rFonts w:hint="eastAsia"/>
                <w:color w:val="auto"/>
                <w:highlight w:val="none"/>
              </w:rPr>
              <w:t>劳动定员：本项目新增劳动定员10人</w:t>
            </w:r>
            <w:r>
              <w:rPr>
                <w:rFonts w:hint="eastAsia"/>
                <w:bCs/>
                <w:color w:val="auto"/>
                <w:highlight w:val="none"/>
              </w:rPr>
              <w:t>。</w:t>
            </w:r>
            <w:r>
              <w:rPr>
                <w:bCs/>
                <w:color w:val="auto"/>
                <w:highlight w:val="none"/>
              </w:rPr>
              <w:t xml:space="preserve"> </w:t>
            </w:r>
          </w:p>
          <w:p w14:paraId="4EE6E795">
            <w:pPr>
              <w:pStyle w:val="56"/>
              <w:ind w:firstLine="496"/>
              <w:rPr>
                <w:color w:val="auto"/>
                <w:highlight w:val="none"/>
              </w:rPr>
            </w:pPr>
            <w:r>
              <w:rPr>
                <w:color w:val="auto"/>
                <w:highlight w:val="none"/>
              </w:rPr>
              <w:t>7</w:t>
            </w:r>
            <w:r>
              <w:rPr>
                <w:rFonts w:hint="eastAsia"/>
                <w:color w:val="auto"/>
                <w:highlight w:val="none"/>
              </w:rPr>
              <w:t>、水平衡</w:t>
            </w:r>
          </w:p>
          <w:p w14:paraId="0B4F105B">
            <w:pPr>
              <w:pStyle w:val="56"/>
              <w:ind w:firstLine="496"/>
              <w:rPr>
                <w:color w:val="auto"/>
                <w:highlight w:val="none"/>
              </w:rPr>
            </w:pPr>
            <w:r>
              <w:rPr>
                <w:rFonts w:hint="eastAsia"/>
                <w:color w:val="auto"/>
                <w:highlight w:val="none"/>
              </w:rPr>
              <w:t>（1）水量平衡依据</w:t>
            </w:r>
          </w:p>
          <w:p w14:paraId="733322A3">
            <w:pPr>
              <w:pStyle w:val="56"/>
              <w:ind w:firstLine="496"/>
              <w:rPr>
                <w:color w:val="auto"/>
                <w:highlight w:val="none"/>
              </w:rPr>
            </w:pPr>
            <w:r>
              <w:rPr>
                <w:rFonts w:hint="eastAsia"/>
                <w:color w:val="auto"/>
                <w:highlight w:val="none"/>
              </w:rPr>
              <w:t>本项目用水主要用于生活用水和玻璃珠清洗用水，均采用自来水。</w:t>
            </w:r>
          </w:p>
          <w:p w14:paraId="0BC4AE2B">
            <w:pPr>
              <w:pStyle w:val="56"/>
              <w:ind w:firstLine="496"/>
              <w:rPr>
                <w:color w:val="auto"/>
                <w:highlight w:val="none"/>
              </w:rPr>
            </w:pPr>
            <w:r>
              <w:rPr>
                <w:rFonts w:hint="eastAsia"/>
                <w:color w:val="auto"/>
                <w:highlight w:val="none"/>
              </w:rPr>
              <w:t>①生活用水：本项目新增劳动定员10人，根据《建筑给水排水设计标准》（GB50015-2019），生活用水定额采用50L/（人·班）。本项目为一班制，年有效工作日</w:t>
            </w:r>
            <w:r>
              <w:rPr>
                <w:color w:val="auto"/>
                <w:highlight w:val="none"/>
              </w:rPr>
              <w:t>300</w:t>
            </w:r>
            <w:r>
              <w:rPr>
                <w:rFonts w:hint="eastAsia"/>
                <w:color w:val="auto"/>
                <w:highlight w:val="none"/>
              </w:rPr>
              <w:t>天，则用水量为</w:t>
            </w:r>
            <w:r>
              <w:rPr>
                <w:color w:val="auto"/>
                <w:highlight w:val="none"/>
              </w:rPr>
              <w:t>150</w:t>
            </w:r>
            <w:r>
              <w:rPr>
                <w:rFonts w:hint="eastAsia"/>
                <w:color w:val="auto"/>
                <w:highlight w:val="none"/>
              </w:rPr>
              <w:t>t/a，损耗以20%计，则生活污水排放量为</w:t>
            </w:r>
            <w:r>
              <w:rPr>
                <w:color w:val="auto"/>
                <w:highlight w:val="none"/>
              </w:rPr>
              <w:t>120</w:t>
            </w:r>
            <w:r>
              <w:rPr>
                <w:rFonts w:hint="eastAsia"/>
                <w:color w:val="auto"/>
                <w:highlight w:val="none"/>
              </w:rPr>
              <w:t>t/a</w:t>
            </w:r>
          </w:p>
          <w:p w14:paraId="135A7147">
            <w:pPr>
              <w:pStyle w:val="56"/>
              <w:ind w:firstLine="496"/>
              <w:rPr>
                <w:color w:val="auto"/>
                <w:highlight w:val="none"/>
              </w:rPr>
            </w:pPr>
            <w:r>
              <w:rPr>
                <w:rFonts w:hint="eastAsia"/>
                <w:color w:val="auto"/>
                <w:highlight w:val="none"/>
              </w:rPr>
              <w:t>②清洗用水：本项目水洗使用自来水进行清洗，根据企业提供的资料，清洗用水为2.5t/h，水洗时间为2400h/a，年用水量为6000t/a，水洗过程损耗量为15%，剩余85%的清洗用水经废水处理装置处理后回用，经废水处理装置处理后可回用的水量占比约95%，其中部分无法回用的浓水委托江阴市奕水盈科技有限公司处置，浓水占比约2%，部分水进入污泥中，进入污泥的水量约为3%。</w:t>
            </w:r>
          </w:p>
          <w:p w14:paraId="3958C255">
            <w:pPr>
              <w:rPr>
                <w:color w:val="auto"/>
                <w:highlight w:val="none"/>
              </w:rPr>
            </w:pPr>
          </w:p>
        </w:tc>
      </w:tr>
      <w:tr w14:paraId="21EB4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99" w:hRule="atLeast"/>
          <w:jc w:val="center"/>
        </w:trPr>
        <w:tc>
          <w:tcPr>
            <w:tcW w:w="557" w:type="dxa"/>
            <w:vAlign w:val="center"/>
          </w:tcPr>
          <w:p w14:paraId="09A56B69">
            <w:pPr>
              <w:pStyle w:val="56"/>
              <w:ind w:firstLine="0" w:firstLineChars="0"/>
              <w:rPr>
                <w:color w:val="auto"/>
                <w:highlight w:val="none"/>
              </w:rPr>
            </w:pPr>
            <w:r>
              <w:rPr>
                <w:rFonts w:hint="eastAsia"/>
                <w:color w:val="auto"/>
                <w:highlight w:val="none"/>
              </w:rPr>
              <w:t>工艺流程和产排污环节</w:t>
            </w:r>
          </w:p>
        </w:tc>
        <w:tc>
          <w:tcPr>
            <w:tcW w:w="7729" w:type="dxa"/>
          </w:tcPr>
          <w:p w14:paraId="2A164EB2">
            <w:pPr>
              <w:spacing w:line="360" w:lineRule="auto"/>
              <w:ind w:firstLine="482" w:firstLineChars="200"/>
              <w:rPr>
                <w:b/>
                <w:bCs/>
                <w:color w:val="auto"/>
                <w:highlight w:val="none"/>
              </w:rPr>
            </w:pPr>
            <w:r>
              <w:rPr>
                <w:b/>
                <w:bCs/>
                <w:color w:val="auto"/>
                <w:highlight w:val="none"/>
              </w:rPr>
              <w:t>1</w:t>
            </w:r>
            <w:r>
              <w:rPr>
                <w:rFonts w:hint="eastAsia"/>
                <w:b/>
                <w:bCs/>
                <w:color w:val="auto"/>
                <w:highlight w:val="none"/>
              </w:rPr>
              <w:t>、生产工艺</w:t>
            </w:r>
          </w:p>
          <w:p w14:paraId="34D5DB4E">
            <w:pPr>
              <w:pStyle w:val="56"/>
              <w:ind w:firstLine="496"/>
              <w:rPr>
                <w:color w:val="auto"/>
                <w:highlight w:val="none"/>
              </w:rPr>
            </w:pPr>
            <w:r>
              <w:rPr>
                <w:rFonts w:hint="eastAsia"/>
                <w:color w:val="auto"/>
                <w:highlight w:val="none"/>
              </w:rPr>
              <w:t>企业主要从事服饰辅料玻璃珠的生产，具体生产工艺流程及产污环节见图</w:t>
            </w:r>
            <w:r>
              <w:rPr>
                <w:color w:val="auto"/>
                <w:highlight w:val="none"/>
              </w:rPr>
              <w:t>2-2</w:t>
            </w:r>
            <w:r>
              <w:rPr>
                <w:rFonts w:hint="eastAsia"/>
                <w:color w:val="auto"/>
                <w:highlight w:val="none"/>
              </w:rPr>
              <w:t>（其中</w:t>
            </w:r>
            <w:r>
              <w:rPr>
                <w:color w:val="auto"/>
                <w:highlight w:val="none"/>
              </w:rPr>
              <w:t>S—</w:t>
            </w:r>
            <w:r>
              <w:rPr>
                <w:rFonts w:hint="eastAsia"/>
                <w:color w:val="auto"/>
                <w:highlight w:val="none"/>
              </w:rPr>
              <w:t>固废、</w:t>
            </w:r>
            <w:r>
              <w:rPr>
                <w:color w:val="auto"/>
                <w:highlight w:val="none"/>
              </w:rPr>
              <w:t>N—</w:t>
            </w:r>
            <w:r>
              <w:rPr>
                <w:rFonts w:hint="eastAsia"/>
                <w:color w:val="auto"/>
                <w:highlight w:val="none"/>
              </w:rPr>
              <w:t>噪声、</w:t>
            </w:r>
            <w:r>
              <w:rPr>
                <w:color w:val="auto"/>
                <w:highlight w:val="none"/>
              </w:rPr>
              <w:t>W—</w:t>
            </w:r>
            <w:r>
              <w:rPr>
                <w:rFonts w:hint="eastAsia"/>
                <w:color w:val="auto"/>
                <w:highlight w:val="none"/>
              </w:rPr>
              <w:t>废水）。</w:t>
            </w:r>
          </w:p>
          <w:p w14:paraId="0B4B149C">
            <w:pPr>
              <w:pStyle w:val="56"/>
              <w:ind w:firstLine="0" w:firstLineChars="0"/>
              <w:jc w:val="center"/>
              <w:rPr>
                <w:color w:val="auto"/>
                <w:highlight w:val="none"/>
              </w:rPr>
            </w:pPr>
            <w:r>
              <w:rPr>
                <w:color w:val="auto"/>
                <w:highlight w:val="none"/>
              </w:rPr>
              <w:drawing>
                <wp:inline distT="0" distB="0" distL="114300" distR="114300">
                  <wp:extent cx="2388870" cy="4183380"/>
                  <wp:effectExtent l="0" t="0" r="1143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88870" cy="4183380"/>
                          </a:xfrm>
                          <a:prstGeom prst="rect">
                            <a:avLst/>
                          </a:prstGeom>
                          <a:noFill/>
                          <a:ln>
                            <a:noFill/>
                          </a:ln>
                        </pic:spPr>
                      </pic:pic>
                    </a:graphicData>
                  </a:graphic>
                </wp:inline>
              </w:drawing>
            </w:r>
            <w:bookmarkStart w:id="9" w:name="_GoBack"/>
            <w:bookmarkEnd w:id="9"/>
          </w:p>
          <w:p w14:paraId="5A624CE8">
            <w:pPr>
              <w:ind w:firstLine="482" w:firstLineChars="200"/>
              <w:jc w:val="center"/>
              <w:rPr>
                <w:b/>
                <w:color w:val="auto"/>
                <w:highlight w:val="none"/>
              </w:rPr>
            </w:pPr>
            <w:r>
              <w:rPr>
                <w:rFonts w:hint="eastAsia"/>
                <w:b/>
                <w:color w:val="auto"/>
                <w:highlight w:val="none"/>
              </w:rPr>
              <w:t>图</w:t>
            </w:r>
            <w:r>
              <w:rPr>
                <w:b/>
                <w:color w:val="auto"/>
                <w:highlight w:val="none"/>
              </w:rPr>
              <w:t>2-</w:t>
            </w:r>
            <w:r>
              <w:rPr>
                <w:rFonts w:hint="eastAsia"/>
                <w:b/>
                <w:color w:val="auto"/>
                <w:highlight w:val="none"/>
              </w:rPr>
              <w:t>2服饰辅料玻璃珠生产工艺流程及产污环节图</w:t>
            </w:r>
          </w:p>
          <w:p w14:paraId="082D4EE1">
            <w:pPr>
              <w:pStyle w:val="56"/>
              <w:ind w:firstLine="496"/>
              <w:rPr>
                <w:color w:val="auto"/>
                <w:highlight w:val="none"/>
              </w:rPr>
            </w:pPr>
            <w:r>
              <w:rPr>
                <w:rFonts w:hint="eastAsia"/>
                <w:color w:val="auto"/>
                <w:highlight w:val="none"/>
              </w:rPr>
              <w:t>工艺流程简述：</w:t>
            </w:r>
          </w:p>
          <w:p w14:paraId="3C57EEDA">
            <w:pPr>
              <w:pStyle w:val="56"/>
              <w:ind w:firstLine="496"/>
              <w:rPr>
                <w:color w:val="auto"/>
                <w:highlight w:val="none"/>
              </w:rPr>
            </w:pPr>
            <w:r>
              <w:rPr>
                <w:color w:val="auto"/>
                <w:highlight w:val="none"/>
              </w:rPr>
              <w:t>2</w:t>
            </w:r>
            <w:r>
              <w:rPr>
                <w:rFonts w:hint="eastAsia"/>
                <w:color w:val="auto"/>
                <w:highlight w:val="none"/>
              </w:rPr>
              <w:t>、其他产污环节分析</w:t>
            </w:r>
          </w:p>
          <w:p w14:paraId="1472F74A">
            <w:pPr>
              <w:pStyle w:val="56"/>
              <w:ind w:firstLine="496"/>
              <w:rPr>
                <w:color w:val="auto"/>
                <w:highlight w:val="none"/>
              </w:rPr>
            </w:pPr>
            <w:r>
              <w:rPr>
                <w:color w:val="auto"/>
                <w:highlight w:val="none"/>
              </w:rPr>
              <w:t>本项目生产中会产生相应类别的污染物，公辅设施也会产生相应污染物</w:t>
            </w:r>
            <w:r>
              <w:rPr>
                <w:rFonts w:hint="eastAsia"/>
                <w:color w:val="auto"/>
                <w:highlight w:val="none"/>
              </w:rPr>
              <w:t>，主要为废水处理产生的浓水（W</w:t>
            </w:r>
            <w:r>
              <w:rPr>
                <w:rFonts w:hint="eastAsia"/>
                <w:color w:val="auto"/>
                <w:highlight w:val="none"/>
                <w:vertAlign w:val="subscript"/>
              </w:rPr>
              <w:t>3</w:t>
            </w:r>
            <w:r>
              <w:rPr>
                <w:rFonts w:hint="eastAsia"/>
                <w:color w:val="auto"/>
                <w:highlight w:val="none"/>
              </w:rPr>
              <w:t>）、污泥（S</w:t>
            </w:r>
            <w:r>
              <w:rPr>
                <w:rFonts w:hint="eastAsia"/>
                <w:color w:val="auto"/>
                <w:highlight w:val="none"/>
                <w:vertAlign w:val="subscript"/>
              </w:rPr>
              <w:t>1</w:t>
            </w:r>
            <w:r>
              <w:rPr>
                <w:rFonts w:hint="eastAsia"/>
                <w:color w:val="auto"/>
                <w:highlight w:val="none"/>
              </w:rPr>
              <w:t>），</w:t>
            </w:r>
            <w:r>
              <w:rPr>
                <w:rFonts w:hint="eastAsia"/>
                <w:color w:val="auto"/>
                <w:highlight w:val="none"/>
                <w:lang w:val="en-US" w:eastAsia="zh-CN"/>
              </w:rPr>
              <w:t>原料使用产生的废包装袋（S</w:t>
            </w:r>
            <w:r>
              <w:rPr>
                <w:rFonts w:hint="eastAsia"/>
                <w:color w:val="auto"/>
                <w:highlight w:val="none"/>
                <w:vertAlign w:val="subscript"/>
                <w:lang w:val="en-US" w:eastAsia="zh-CN"/>
              </w:rPr>
              <w:t>2</w:t>
            </w:r>
            <w:r>
              <w:rPr>
                <w:rFonts w:hint="eastAsia"/>
                <w:color w:val="auto"/>
                <w:highlight w:val="none"/>
                <w:lang w:val="en-US" w:eastAsia="zh-CN"/>
              </w:rPr>
              <w:t>）、</w:t>
            </w:r>
            <w:r>
              <w:rPr>
                <w:rFonts w:hint="eastAsia"/>
                <w:color w:val="auto"/>
                <w:highlight w:val="none"/>
              </w:rPr>
              <w:t>员工生活污水（W</w:t>
            </w:r>
            <w:r>
              <w:rPr>
                <w:rFonts w:hint="eastAsia"/>
                <w:color w:val="auto"/>
                <w:highlight w:val="none"/>
                <w:vertAlign w:val="subscript"/>
              </w:rPr>
              <w:t>4</w:t>
            </w:r>
            <w:r>
              <w:rPr>
                <w:rFonts w:hint="eastAsia"/>
                <w:color w:val="auto"/>
                <w:highlight w:val="none"/>
              </w:rPr>
              <w:t>）和员工生活活动产生的生活垃圾（S</w:t>
            </w:r>
            <w:r>
              <w:rPr>
                <w:rFonts w:hint="eastAsia"/>
                <w:color w:val="auto"/>
                <w:highlight w:val="none"/>
                <w:vertAlign w:val="subscript"/>
                <w:lang w:val="en-US" w:eastAsia="zh-CN"/>
              </w:rPr>
              <w:t>3</w:t>
            </w:r>
            <w:r>
              <w:rPr>
                <w:rFonts w:hint="eastAsia"/>
                <w:color w:val="auto"/>
                <w:highlight w:val="none"/>
              </w:rPr>
              <w:t>）。</w:t>
            </w:r>
          </w:p>
          <w:p w14:paraId="247F374D">
            <w:pPr>
              <w:pStyle w:val="2"/>
              <w:rPr>
                <w:bCs/>
                <w:color w:val="auto"/>
                <w:highlight w:val="none"/>
              </w:rPr>
            </w:pPr>
          </w:p>
        </w:tc>
      </w:tr>
      <w:tr w14:paraId="5C2D4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84" w:hRule="atLeast"/>
          <w:jc w:val="center"/>
        </w:trPr>
        <w:tc>
          <w:tcPr>
            <w:tcW w:w="557" w:type="dxa"/>
            <w:vAlign w:val="center"/>
          </w:tcPr>
          <w:p w14:paraId="5A10366C">
            <w:pPr>
              <w:adjustRightInd w:val="0"/>
              <w:snapToGrid w:val="0"/>
              <w:rPr>
                <w:color w:val="auto"/>
                <w:highlight w:val="none"/>
              </w:rPr>
            </w:pPr>
            <w:r>
              <w:rPr>
                <w:rFonts w:hint="eastAsia"/>
                <w:bCs/>
                <w:color w:val="auto"/>
                <w:highlight w:val="none"/>
              </w:rPr>
              <w:t>与项目有关的原有环境污染问题</w:t>
            </w:r>
          </w:p>
        </w:tc>
        <w:tc>
          <w:tcPr>
            <w:tcW w:w="7729" w:type="dxa"/>
          </w:tcPr>
          <w:p w14:paraId="3B04C27F">
            <w:pPr>
              <w:adjustRightInd w:val="0"/>
              <w:snapToGrid w:val="0"/>
              <w:spacing w:line="360" w:lineRule="auto"/>
              <w:ind w:firstLine="482" w:firstLineChars="200"/>
              <w:rPr>
                <w:b/>
                <w:bCs/>
                <w:color w:val="auto"/>
                <w:highlight w:val="none"/>
              </w:rPr>
            </w:pPr>
            <w:bookmarkStart w:id="6" w:name="OLE_LINK10"/>
            <w:bookmarkStart w:id="7" w:name="OLE_LINK9"/>
            <w:r>
              <w:rPr>
                <w:rFonts w:hint="eastAsia"/>
                <w:b/>
                <w:bCs/>
                <w:color w:val="auto"/>
                <w:highlight w:val="none"/>
              </w:rPr>
              <w:t>现有项目概况</w:t>
            </w:r>
          </w:p>
          <w:p w14:paraId="40A6663E">
            <w:pPr>
              <w:adjustRightInd w:val="0"/>
              <w:snapToGrid w:val="0"/>
              <w:spacing w:line="360" w:lineRule="auto"/>
              <w:ind w:firstLine="480" w:firstLineChars="200"/>
              <w:rPr>
                <w:color w:val="auto"/>
                <w:highlight w:val="none"/>
              </w:rPr>
            </w:pPr>
            <w:r>
              <w:rPr>
                <w:rFonts w:hint="eastAsia"/>
                <w:color w:val="auto"/>
                <w:highlight w:val="none"/>
              </w:rPr>
              <w:t>江阴厚正玻璃制品有限公司租赁江阴市康立医疗器材有限公司厂房750平方米进行新建项目的建设，</w:t>
            </w:r>
            <w:r>
              <w:rPr>
                <w:rFonts w:hint="eastAsia"/>
                <w:color w:val="auto"/>
                <w:spacing w:val="4"/>
                <w:szCs w:val="21"/>
                <w:highlight w:val="none"/>
              </w:rPr>
              <w:t>且经核实本项目所在车间区域原作为机械设备生产使用，该工艺对建设地土壤、地下水无影响。该租赁区域不涉及“化工、农药、石化、医药、金属冶炼、铅蓄电池、皮革、金属表面处理、生产储存使用危险化学品、贮存利用处置危险废物及其他可能造成场地污染的工业企业”，不存在场地污染问题，符合环发[2012]140号文件相关要求，因此该场地可满足本项目开发利用要求。</w:t>
            </w:r>
          </w:p>
          <w:p w14:paraId="4AAD25C6">
            <w:pPr>
              <w:adjustRightInd w:val="0"/>
              <w:snapToGrid w:val="0"/>
              <w:spacing w:line="360" w:lineRule="auto"/>
              <w:ind w:firstLine="496" w:firstLineChars="200"/>
              <w:rPr>
                <w:color w:val="auto"/>
                <w:highlight w:val="none"/>
              </w:rPr>
            </w:pPr>
            <w:r>
              <w:rPr>
                <w:rFonts w:hint="eastAsia"/>
                <w:color w:val="auto"/>
                <w:spacing w:val="4"/>
                <w:szCs w:val="21"/>
                <w:highlight w:val="none"/>
              </w:rPr>
              <w:t>根据实地调查，项目建设地供水、供电设施均已完善，污水管网已接通，本项目生活污水经化粪池预处理后接入江阴市月城污水处理有限公司处置集中处理；清洗废水经沉淀池处理后回用，尾水经厂内预处理后达到江阴市奕水盈科技有限公司接收标准后经槽罐车运至江阴市奕水盈科技有限公司处置</w:t>
            </w:r>
            <w:r>
              <w:rPr>
                <w:rFonts w:hint="eastAsia"/>
                <w:color w:val="auto"/>
                <w:spacing w:val="4"/>
                <w:szCs w:val="21"/>
                <w:highlight w:val="none"/>
                <w:lang w:eastAsia="zh-CN"/>
              </w:rPr>
              <w:t>，</w:t>
            </w:r>
            <w:r>
              <w:rPr>
                <w:rFonts w:hint="eastAsia"/>
                <w:color w:val="auto"/>
                <w:spacing w:val="4"/>
                <w:szCs w:val="21"/>
                <w:highlight w:val="none"/>
              </w:rPr>
              <w:t>处理尾水回用，不排放。</w:t>
            </w:r>
          </w:p>
          <w:bookmarkEnd w:id="6"/>
          <w:bookmarkEnd w:id="7"/>
          <w:p w14:paraId="6F8F012E">
            <w:pPr>
              <w:spacing w:line="360" w:lineRule="auto"/>
              <w:ind w:firstLine="480" w:firstLineChars="200"/>
              <w:rPr>
                <w:color w:val="auto"/>
                <w:highlight w:val="none"/>
              </w:rPr>
            </w:pPr>
          </w:p>
        </w:tc>
      </w:tr>
    </w:tbl>
    <w:p w14:paraId="4F7A3D6D">
      <w:pPr>
        <w:spacing w:before="100" w:beforeAutospacing="1" w:after="100" w:afterAutospacing="1"/>
        <w:ind w:firstLine="600"/>
        <w:jc w:val="center"/>
        <w:outlineLvl w:val="0"/>
        <w:rPr>
          <w:snapToGrid w:val="0"/>
          <w:color w:val="auto"/>
          <w:sz w:val="30"/>
          <w:szCs w:val="30"/>
          <w:highlight w:val="none"/>
          <w:lang w:val="zh-CN"/>
        </w:rPr>
      </w:pPr>
      <w:r>
        <w:rPr>
          <w:rFonts w:hint="eastAsia"/>
          <w:snapToGrid w:val="0"/>
          <w:color w:val="auto"/>
          <w:sz w:val="30"/>
          <w:szCs w:val="30"/>
          <w:highlight w:val="none"/>
          <w:lang w:val="zh-CN"/>
        </w:rPr>
        <w:t>三、区域环境质量现状、环境保护目标及评价标准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14:paraId="786B2A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800" w:type="dxa"/>
            <w:vAlign w:val="center"/>
          </w:tcPr>
          <w:p w14:paraId="1F936181">
            <w:pPr>
              <w:adjustRightInd w:val="0"/>
              <w:snapToGrid w:val="0"/>
              <w:jc w:val="center"/>
              <w:rPr>
                <w:color w:val="auto"/>
                <w:highlight w:val="none"/>
              </w:rPr>
            </w:pPr>
            <w:r>
              <w:rPr>
                <w:rFonts w:hint="eastAsia"/>
                <w:color w:val="auto"/>
                <w:highlight w:val="none"/>
              </w:rPr>
              <w:t>区域</w:t>
            </w:r>
          </w:p>
          <w:p w14:paraId="741062B5">
            <w:pPr>
              <w:adjustRightInd w:val="0"/>
              <w:snapToGrid w:val="0"/>
              <w:jc w:val="center"/>
              <w:rPr>
                <w:color w:val="auto"/>
                <w:highlight w:val="none"/>
              </w:rPr>
            </w:pPr>
            <w:r>
              <w:rPr>
                <w:rFonts w:hint="eastAsia"/>
                <w:color w:val="auto"/>
                <w:highlight w:val="none"/>
              </w:rPr>
              <w:t>环境</w:t>
            </w:r>
          </w:p>
          <w:p w14:paraId="33A7B995">
            <w:pPr>
              <w:adjustRightInd w:val="0"/>
              <w:snapToGrid w:val="0"/>
              <w:jc w:val="center"/>
              <w:rPr>
                <w:color w:val="auto"/>
                <w:highlight w:val="none"/>
              </w:rPr>
            </w:pPr>
            <w:r>
              <w:rPr>
                <w:rFonts w:hint="eastAsia"/>
                <w:color w:val="auto"/>
                <w:highlight w:val="none"/>
              </w:rPr>
              <w:t>质量</w:t>
            </w:r>
          </w:p>
          <w:p w14:paraId="44875E79">
            <w:pPr>
              <w:adjustRightInd w:val="0"/>
              <w:snapToGrid w:val="0"/>
              <w:jc w:val="center"/>
              <w:rPr>
                <w:color w:val="auto"/>
                <w:sz w:val="21"/>
                <w:highlight w:val="none"/>
              </w:rPr>
            </w:pPr>
            <w:r>
              <w:rPr>
                <w:rFonts w:hint="eastAsia"/>
                <w:color w:val="auto"/>
                <w:highlight w:val="none"/>
              </w:rPr>
              <w:t>现状</w:t>
            </w:r>
          </w:p>
        </w:tc>
        <w:tc>
          <w:tcPr>
            <w:tcW w:w="8190" w:type="dxa"/>
            <w:vAlign w:val="center"/>
          </w:tcPr>
          <w:p w14:paraId="18401D87">
            <w:pPr>
              <w:snapToGrid w:val="0"/>
              <w:spacing w:line="360" w:lineRule="auto"/>
              <w:ind w:firstLine="498" w:firstLineChars="200"/>
              <w:outlineLvl w:val="4"/>
              <w:rPr>
                <w:b/>
                <w:bCs/>
                <w:color w:val="auto"/>
                <w:spacing w:val="4"/>
                <w:highlight w:val="none"/>
              </w:rPr>
            </w:pPr>
            <w:r>
              <w:rPr>
                <w:b/>
                <w:bCs/>
                <w:color w:val="auto"/>
                <w:spacing w:val="4"/>
                <w:highlight w:val="none"/>
              </w:rPr>
              <w:t>1</w:t>
            </w:r>
            <w:r>
              <w:rPr>
                <w:rFonts w:hint="eastAsia"/>
                <w:b/>
                <w:bCs/>
                <w:color w:val="auto"/>
                <w:spacing w:val="4"/>
                <w:highlight w:val="none"/>
              </w:rPr>
              <w:t>、大气环境</w:t>
            </w:r>
          </w:p>
          <w:p w14:paraId="6EB98826">
            <w:pPr>
              <w:snapToGrid w:val="0"/>
              <w:spacing w:line="360" w:lineRule="auto"/>
              <w:ind w:firstLine="496" w:firstLineChars="200"/>
              <w:outlineLvl w:val="4"/>
              <w:rPr>
                <w:color w:val="auto"/>
                <w:spacing w:val="4"/>
                <w:highlight w:val="none"/>
              </w:rPr>
            </w:pPr>
            <w:r>
              <w:rPr>
                <w:rFonts w:hint="eastAsia"/>
                <w:color w:val="auto"/>
                <w:spacing w:val="4"/>
                <w:highlight w:val="none"/>
              </w:rPr>
              <w:t>根据《建设项目环境影响报告表编制技术指南（污染影响类）》（</w:t>
            </w:r>
            <w:r>
              <w:rPr>
                <w:color w:val="auto"/>
                <w:spacing w:val="4"/>
                <w:highlight w:val="none"/>
              </w:rPr>
              <w:t>2021</w:t>
            </w:r>
            <w:r>
              <w:rPr>
                <w:rFonts w:hint="eastAsia"/>
                <w:color w:val="auto"/>
                <w:spacing w:val="4"/>
                <w:highlight w:val="none"/>
              </w:rPr>
              <w:t>年试行</w:t>
            </w:r>
            <w:r>
              <w:rPr>
                <w:color w:val="auto"/>
                <w:spacing w:val="4"/>
                <w:highlight w:val="none"/>
              </w:rPr>
              <w:t>)</w:t>
            </w:r>
            <w:r>
              <w:rPr>
                <w:rFonts w:hint="eastAsia"/>
                <w:color w:val="auto"/>
                <w:spacing w:val="4"/>
                <w:highlight w:val="none"/>
              </w:rPr>
              <w:t>，常规污染物引用与建设项目距离近的有效数据，包括近</w:t>
            </w:r>
            <w:r>
              <w:rPr>
                <w:color w:val="auto"/>
                <w:spacing w:val="4"/>
                <w:highlight w:val="none"/>
              </w:rPr>
              <w:t>3</w:t>
            </w:r>
            <w:r>
              <w:rPr>
                <w:rFonts w:hint="eastAsia"/>
                <w:color w:val="auto"/>
                <w:spacing w:val="4"/>
                <w:highlight w:val="none"/>
              </w:rPr>
              <w:t>年的规划环境影响评价的监测数据，国家、地方环境空气质量监测网数据或生态环境主管部门公开发布的质量数据等。排放国家、地方环境空气质量标准中有标准限值要求的特征污染物时，引用建设项目周边</w:t>
            </w:r>
            <w:r>
              <w:rPr>
                <w:color w:val="auto"/>
                <w:spacing w:val="4"/>
                <w:highlight w:val="none"/>
              </w:rPr>
              <w:t>5</w:t>
            </w:r>
            <w:r>
              <w:rPr>
                <w:rFonts w:hint="eastAsia"/>
                <w:color w:val="auto"/>
                <w:spacing w:val="4"/>
                <w:highlight w:val="none"/>
              </w:rPr>
              <w:t>千米范围内近</w:t>
            </w:r>
            <w:r>
              <w:rPr>
                <w:color w:val="auto"/>
                <w:spacing w:val="4"/>
                <w:highlight w:val="none"/>
              </w:rPr>
              <w:t>3</w:t>
            </w:r>
            <w:r>
              <w:rPr>
                <w:rFonts w:hint="eastAsia"/>
                <w:color w:val="auto"/>
                <w:spacing w:val="4"/>
                <w:highlight w:val="none"/>
              </w:rPr>
              <w:t>年的原有监测数据，无相关数据的选择当季主导风向下风向</w:t>
            </w:r>
            <w:r>
              <w:rPr>
                <w:color w:val="auto"/>
                <w:spacing w:val="4"/>
                <w:highlight w:val="none"/>
              </w:rPr>
              <w:t>1</w:t>
            </w:r>
            <w:r>
              <w:rPr>
                <w:rFonts w:hint="eastAsia"/>
                <w:color w:val="auto"/>
                <w:spacing w:val="4"/>
                <w:highlight w:val="none"/>
              </w:rPr>
              <w:t>个点位补充不少于</w:t>
            </w:r>
            <w:r>
              <w:rPr>
                <w:color w:val="auto"/>
                <w:spacing w:val="4"/>
                <w:highlight w:val="none"/>
              </w:rPr>
              <w:t>3</w:t>
            </w:r>
            <w:r>
              <w:rPr>
                <w:rFonts w:hint="eastAsia"/>
                <w:color w:val="auto"/>
                <w:spacing w:val="4"/>
                <w:highlight w:val="none"/>
              </w:rPr>
              <w:t>天的监测数据。</w:t>
            </w:r>
          </w:p>
          <w:p w14:paraId="5EA91E47">
            <w:pPr>
              <w:snapToGrid w:val="0"/>
              <w:spacing w:line="360" w:lineRule="auto"/>
              <w:ind w:firstLine="496" w:firstLineChars="200"/>
              <w:outlineLvl w:val="4"/>
              <w:rPr>
                <w:color w:val="auto"/>
                <w:spacing w:val="4"/>
                <w:highlight w:val="none"/>
              </w:rPr>
            </w:pPr>
            <w:r>
              <w:rPr>
                <w:rFonts w:hint="eastAsia"/>
                <w:color w:val="auto"/>
                <w:spacing w:val="4"/>
                <w:highlight w:val="none"/>
              </w:rPr>
              <w:t>本报告选取</w:t>
            </w:r>
            <w:r>
              <w:rPr>
                <w:color w:val="auto"/>
                <w:spacing w:val="4"/>
                <w:highlight w:val="none"/>
              </w:rPr>
              <w:t>202</w:t>
            </w:r>
            <w:r>
              <w:rPr>
                <w:rFonts w:hint="eastAsia"/>
                <w:color w:val="auto"/>
                <w:spacing w:val="4"/>
                <w:highlight w:val="none"/>
              </w:rPr>
              <w:t>4年作为评价基准年，依据无锡市江阴生态环境局发布的</w:t>
            </w:r>
            <w:bookmarkStart w:id="8" w:name="_Hlk144814888"/>
            <w:r>
              <w:rPr>
                <w:rFonts w:hint="eastAsia"/>
                <w:color w:val="auto"/>
                <w:spacing w:val="4"/>
                <w:highlight w:val="none"/>
              </w:rPr>
              <w:t>《</w:t>
            </w:r>
            <w:r>
              <w:rPr>
                <w:color w:val="auto"/>
                <w:spacing w:val="4"/>
                <w:highlight w:val="none"/>
              </w:rPr>
              <w:t>20</w:t>
            </w:r>
            <w:r>
              <w:rPr>
                <w:rFonts w:hint="eastAsia"/>
                <w:color w:val="auto"/>
                <w:spacing w:val="4"/>
                <w:highlight w:val="none"/>
              </w:rPr>
              <w:t>24年度江阴市生态环境状况公报》</w:t>
            </w:r>
            <w:bookmarkEnd w:id="8"/>
            <w:r>
              <w:rPr>
                <w:rFonts w:hint="eastAsia"/>
                <w:color w:val="auto"/>
                <w:spacing w:val="4"/>
                <w:highlight w:val="none"/>
              </w:rPr>
              <w:t>进行区域达标性判断。具体数据见表</w:t>
            </w:r>
            <w:r>
              <w:rPr>
                <w:color w:val="auto"/>
                <w:spacing w:val="4"/>
                <w:highlight w:val="none"/>
              </w:rPr>
              <w:t>3-1</w:t>
            </w:r>
            <w:r>
              <w:rPr>
                <w:rFonts w:hint="eastAsia"/>
                <w:color w:val="auto"/>
                <w:spacing w:val="4"/>
                <w:highlight w:val="none"/>
              </w:rPr>
              <w:t>。</w:t>
            </w:r>
          </w:p>
          <w:p w14:paraId="18FB6908">
            <w:pPr>
              <w:ind w:firstLine="482"/>
              <w:jc w:val="center"/>
              <w:rPr>
                <w:b/>
                <w:bCs/>
                <w:color w:val="auto"/>
                <w:szCs w:val="21"/>
                <w:highlight w:val="none"/>
              </w:rPr>
            </w:pPr>
            <w:r>
              <w:rPr>
                <w:rFonts w:hint="eastAsia"/>
                <w:b/>
                <w:bCs/>
                <w:color w:val="auto"/>
                <w:szCs w:val="21"/>
                <w:highlight w:val="none"/>
              </w:rPr>
              <w:t>表</w:t>
            </w:r>
            <w:r>
              <w:rPr>
                <w:b/>
                <w:bCs/>
                <w:color w:val="auto"/>
                <w:szCs w:val="21"/>
                <w:highlight w:val="none"/>
              </w:rPr>
              <w:t>3-1</w:t>
            </w:r>
            <w:r>
              <w:rPr>
                <w:rFonts w:hint="eastAsia"/>
                <w:b/>
                <w:bCs/>
                <w:color w:val="auto"/>
                <w:szCs w:val="21"/>
                <w:highlight w:val="none"/>
              </w:rPr>
              <w:t xml:space="preserve"> 空气环境质量现状</w:t>
            </w:r>
          </w:p>
          <w:tbl>
            <w:tblPr>
              <w:tblStyle w:val="27"/>
              <w:tblW w:w="5000" w:type="pct"/>
              <w:tblInd w:w="0" w:type="dxa"/>
              <w:tblLayout w:type="autofit"/>
              <w:tblCellMar>
                <w:top w:w="0" w:type="dxa"/>
                <w:left w:w="17" w:type="dxa"/>
                <w:bottom w:w="0" w:type="dxa"/>
                <w:right w:w="17" w:type="dxa"/>
              </w:tblCellMar>
            </w:tblPr>
            <w:tblGrid>
              <w:gridCol w:w="782"/>
              <w:gridCol w:w="767"/>
              <w:gridCol w:w="2328"/>
              <w:gridCol w:w="1040"/>
              <w:gridCol w:w="908"/>
              <w:gridCol w:w="1037"/>
              <w:gridCol w:w="976"/>
            </w:tblGrid>
            <w:tr w14:paraId="4BAEBD5D">
              <w:tblPrEx>
                <w:tblCellMar>
                  <w:top w:w="0" w:type="dxa"/>
                  <w:left w:w="17" w:type="dxa"/>
                  <w:bottom w:w="0" w:type="dxa"/>
                  <w:right w:w="17" w:type="dxa"/>
                </w:tblCellMar>
              </w:tblPrEx>
              <w:trPr>
                <w:cantSplit/>
                <w:trHeight w:val="340" w:hRule="atLeast"/>
              </w:trPr>
              <w:tc>
                <w:tcPr>
                  <w:tcW w:w="499" w:type="pct"/>
                  <w:tcBorders>
                    <w:top w:val="single" w:color="auto" w:sz="12" w:space="0"/>
                    <w:left w:val="nil"/>
                    <w:bottom w:val="single" w:color="000000" w:sz="12" w:space="0"/>
                    <w:right w:val="single" w:color="auto" w:sz="4" w:space="0"/>
                  </w:tcBorders>
                  <w:vAlign w:val="center"/>
                </w:tcPr>
                <w:p w14:paraId="7FF90635">
                  <w:pPr>
                    <w:pStyle w:val="58"/>
                    <w:rPr>
                      <w:b/>
                      <w:bCs/>
                      <w:color w:val="auto"/>
                      <w:highlight w:val="none"/>
                    </w:rPr>
                  </w:pPr>
                  <w:r>
                    <w:rPr>
                      <w:rFonts w:hint="eastAsia"/>
                      <w:b/>
                      <w:bCs/>
                      <w:color w:val="auto"/>
                      <w:highlight w:val="none"/>
                    </w:rPr>
                    <w:t>年份</w:t>
                  </w:r>
                </w:p>
              </w:tc>
              <w:tc>
                <w:tcPr>
                  <w:tcW w:w="489" w:type="pct"/>
                  <w:tcBorders>
                    <w:top w:val="single" w:color="auto" w:sz="12" w:space="0"/>
                    <w:left w:val="single" w:color="auto" w:sz="4" w:space="0"/>
                    <w:bottom w:val="single" w:color="000000" w:sz="12" w:space="0"/>
                    <w:right w:val="single" w:color="auto" w:sz="4" w:space="0"/>
                  </w:tcBorders>
                  <w:vAlign w:val="center"/>
                </w:tcPr>
                <w:p w14:paraId="0F702933">
                  <w:pPr>
                    <w:pStyle w:val="58"/>
                    <w:rPr>
                      <w:b/>
                      <w:bCs/>
                      <w:color w:val="auto"/>
                      <w:highlight w:val="none"/>
                    </w:rPr>
                  </w:pPr>
                  <w:r>
                    <w:rPr>
                      <w:rFonts w:hint="eastAsia"/>
                      <w:b/>
                      <w:bCs/>
                      <w:color w:val="auto"/>
                      <w:highlight w:val="none"/>
                    </w:rPr>
                    <w:t>污染物</w:t>
                  </w:r>
                </w:p>
              </w:tc>
              <w:tc>
                <w:tcPr>
                  <w:tcW w:w="1484" w:type="pct"/>
                  <w:tcBorders>
                    <w:top w:val="single" w:color="auto" w:sz="12" w:space="0"/>
                    <w:left w:val="single" w:color="auto" w:sz="4" w:space="0"/>
                    <w:bottom w:val="single" w:color="000000" w:sz="12" w:space="0"/>
                    <w:right w:val="single" w:color="auto" w:sz="4" w:space="0"/>
                  </w:tcBorders>
                  <w:vAlign w:val="center"/>
                </w:tcPr>
                <w:p w14:paraId="5CE94C70">
                  <w:pPr>
                    <w:pStyle w:val="58"/>
                    <w:rPr>
                      <w:b/>
                      <w:bCs/>
                      <w:color w:val="auto"/>
                      <w:highlight w:val="none"/>
                    </w:rPr>
                  </w:pPr>
                  <w:r>
                    <w:rPr>
                      <w:rFonts w:hint="eastAsia"/>
                      <w:b/>
                      <w:bCs/>
                      <w:color w:val="auto"/>
                      <w:highlight w:val="none"/>
                    </w:rPr>
                    <w:t>年评价指标</w:t>
                  </w:r>
                </w:p>
              </w:tc>
              <w:tc>
                <w:tcPr>
                  <w:tcW w:w="663" w:type="pct"/>
                  <w:tcBorders>
                    <w:top w:val="single" w:color="auto" w:sz="12" w:space="0"/>
                    <w:left w:val="single" w:color="auto" w:sz="4" w:space="0"/>
                    <w:bottom w:val="single" w:color="auto" w:sz="12" w:space="0"/>
                    <w:right w:val="single" w:color="auto" w:sz="4" w:space="0"/>
                  </w:tcBorders>
                  <w:vAlign w:val="center"/>
                </w:tcPr>
                <w:p w14:paraId="7D264664">
                  <w:pPr>
                    <w:pStyle w:val="58"/>
                    <w:rPr>
                      <w:b/>
                      <w:bCs/>
                      <w:color w:val="auto"/>
                      <w:highlight w:val="none"/>
                    </w:rPr>
                  </w:pPr>
                  <w:r>
                    <w:rPr>
                      <w:rFonts w:hint="eastAsia"/>
                      <w:b/>
                      <w:bCs/>
                      <w:color w:val="auto"/>
                      <w:highlight w:val="none"/>
                    </w:rPr>
                    <w:t>现状浓度</w:t>
                  </w:r>
                  <w:r>
                    <w:rPr>
                      <w:b/>
                      <w:bCs/>
                      <w:color w:val="auto"/>
                      <w:highlight w:val="none"/>
                    </w:rPr>
                    <w:t>μg/m</w:t>
                  </w:r>
                  <w:r>
                    <w:rPr>
                      <w:b/>
                      <w:bCs/>
                      <w:color w:val="auto"/>
                      <w:highlight w:val="none"/>
                      <w:vertAlign w:val="superscript"/>
                    </w:rPr>
                    <w:t>3</w:t>
                  </w:r>
                </w:p>
              </w:tc>
              <w:tc>
                <w:tcPr>
                  <w:tcW w:w="579" w:type="pct"/>
                  <w:tcBorders>
                    <w:top w:val="single" w:color="auto" w:sz="12" w:space="0"/>
                    <w:left w:val="single" w:color="auto" w:sz="4" w:space="0"/>
                    <w:bottom w:val="single" w:color="auto" w:sz="12" w:space="0"/>
                    <w:right w:val="single" w:color="auto" w:sz="4" w:space="0"/>
                  </w:tcBorders>
                  <w:vAlign w:val="center"/>
                </w:tcPr>
                <w:p w14:paraId="40676523">
                  <w:pPr>
                    <w:pStyle w:val="58"/>
                    <w:rPr>
                      <w:b/>
                      <w:bCs/>
                      <w:color w:val="auto"/>
                      <w:highlight w:val="none"/>
                    </w:rPr>
                  </w:pPr>
                  <w:r>
                    <w:rPr>
                      <w:rFonts w:hint="eastAsia"/>
                      <w:b/>
                      <w:bCs/>
                      <w:color w:val="auto"/>
                      <w:highlight w:val="none"/>
                    </w:rPr>
                    <w:t>标准值</w:t>
                  </w:r>
                </w:p>
                <w:p w14:paraId="599FBE77">
                  <w:pPr>
                    <w:pStyle w:val="58"/>
                    <w:rPr>
                      <w:b/>
                      <w:bCs/>
                      <w:color w:val="auto"/>
                      <w:highlight w:val="none"/>
                    </w:rPr>
                  </w:pPr>
                  <w:r>
                    <w:rPr>
                      <w:b/>
                      <w:bCs/>
                      <w:color w:val="auto"/>
                      <w:highlight w:val="none"/>
                    </w:rPr>
                    <w:t>μg/m</w:t>
                  </w:r>
                  <w:r>
                    <w:rPr>
                      <w:b/>
                      <w:bCs/>
                      <w:color w:val="auto"/>
                      <w:highlight w:val="none"/>
                      <w:vertAlign w:val="superscript"/>
                    </w:rPr>
                    <w:t>3</w:t>
                  </w:r>
                </w:p>
              </w:tc>
              <w:tc>
                <w:tcPr>
                  <w:tcW w:w="661" w:type="pct"/>
                  <w:tcBorders>
                    <w:top w:val="single" w:color="auto" w:sz="12" w:space="0"/>
                    <w:left w:val="single" w:color="auto" w:sz="4" w:space="0"/>
                    <w:bottom w:val="single" w:color="000000" w:sz="12" w:space="0"/>
                    <w:right w:val="single" w:color="auto" w:sz="4" w:space="0"/>
                  </w:tcBorders>
                  <w:vAlign w:val="center"/>
                </w:tcPr>
                <w:p w14:paraId="605AB165">
                  <w:pPr>
                    <w:pStyle w:val="58"/>
                    <w:rPr>
                      <w:b/>
                      <w:bCs/>
                      <w:color w:val="auto"/>
                      <w:highlight w:val="none"/>
                    </w:rPr>
                  </w:pPr>
                  <w:r>
                    <w:rPr>
                      <w:rFonts w:hint="eastAsia"/>
                      <w:b/>
                      <w:bCs/>
                      <w:color w:val="auto"/>
                      <w:highlight w:val="none"/>
                    </w:rPr>
                    <w:t>占标率</w:t>
                  </w:r>
                  <w:r>
                    <w:rPr>
                      <w:b/>
                      <w:bCs/>
                      <w:color w:val="auto"/>
                      <w:highlight w:val="none"/>
                    </w:rPr>
                    <w:t>/%</w:t>
                  </w:r>
                </w:p>
              </w:tc>
              <w:tc>
                <w:tcPr>
                  <w:tcW w:w="622" w:type="pct"/>
                  <w:tcBorders>
                    <w:top w:val="single" w:color="auto" w:sz="12" w:space="0"/>
                    <w:left w:val="single" w:color="auto" w:sz="4" w:space="0"/>
                    <w:bottom w:val="single" w:color="000000" w:sz="12" w:space="0"/>
                    <w:right w:val="nil"/>
                  </w:tcBorders>
                  <w:vAlign w:val="center"/>
                </w:tcPr>
                <w:p w14:paraId="12546B8D">
                  <w:pPr>
                    <w:pStyle w:val="58"/>
                    <w:rPr>
                      <w:b/>
                      <w:bCs/>
                      <w:color w:val="auto"/>
                      <w:highlight w:val="none"/>
                    </w:rPr>
                  </w:pPr>
                  <w:r>
                    <w:rPr>
                      <w:rFonts w:hint="eastAsia"/>
                      <w:b/>
                      <w:bCs/>
                      <w:color w:val="auto"/>
                      <w:highlight w:val="none"/>
                    </w:rPr>
                    <w:t>达标情况</w:t>
                  </w:r>
                </w:p>
              </w:tc>
            </w:tr>
            <w:tr w14:paraId="5B939BEB">
              <w:tblPrEx>
                <w:tblCellMar>
                  <w:top w:w="0" w:type="dxa"/>
                  <w:left w:w="17" w:type="dxa"/>
                  <w:bottom w:w="0" w:type="dxa"/>
                  <w:right w:w="17" w:type="dxa"/>
                </w:tblCellMar>
              </w:tblPrEx>
              <w:trPr>
                <w:cantSplit/>
                <w:trHeight w:val="351" w:hRule="atLeast"/>
              </w:trPr>
              <w:tc>
                <w:tcPr>
                  <w:tcW w:w="499" w:type="pct"/>
                  <w:vMerge w:val="restart"/>
                  <w:tcBorders>
                    <w:top w:val="single" w:color="auto" w:sz="4" w:space="0"/>
                    <w:left w:val="nil"/>
                    <w:bottom w:val="single" w:color="auto" w:sz="12" w:space="0"/>
                    <w:right w:val="single" w:color="auto" w:sz="4" w:space="0"/>
                  </w:tcBorders>
                  <w:vAlign w:val="center"/>
                </w:tcPr>
                <w:p w14:paraId="09A37B05">
                  <w:pPr>
                    <w:pStyle w:val="58"/>
                    <w:rPr>
                      <w:color w:val="auto"/>
                      <w:highlight w:val="none"/>
                    </w:rPr>
                  </w:pPr>
                  <w:r>
                    <w:rPr>
                      <w:color w:val="auto"/>
                      <w:highlight w:val="none"/>
                    </w:rPr>
                    <w:t>202</w:t>
                  </w:r>
                  <w:r>
                    <w:rPr>
                      <w:rFonts w:hint="eastAsia"/>
                      <w:color w:val="auto"/>
                      <w:highlight w:val="none"/>
                    </w:rPr>
                    <w:t>4年</w:t>
                  </w:r>
                </w:p>
              </w:tc>
              <w:tc>
                <w:tcPr>
                  <w:tcW w:w="489" w:type="pct"/>
                  <w:tcBorders>
                    <w:top w:val="single" w:color="auto" w:sz="4" w:space="0"/>
                    <w:left w:val="single" w:color="auto" w:sz="4" w:space="0"/>
                    <w:bottom w:val="single" w:color="auto" w:sz="4" w:space="0"/>
                    <w:right w:val="single" w:color="auto" w:sz="4" w:space="0"/>
                  </w:tcBorders>
                  <w:vAlign w:val="center"/>
                </w:tcPr>
                <w:p w14:paraId="5FB32750">
                  <w:pPr>
                    <w:pStyle w:val="58"/>
                    <w:rPr>
                      <w:color w:val="auto"/>
                      <w:highlight w:val="none"/>
                    </w:rPr>
                  </w:pPr>
                  <w:r>
                    <w:rPr>
                      <w:color w:val="auto"/>
                      <w:highlight w:val="none"/>
                    </w:rPr>
                    <w:t>SO</w:t>
                  </w:r>
                  <w:r>
                    <w:rPr>
                      <w:color w:val="auto"/>
                      <w:highlight w:val="none"/>
                      <w:vertAlign w:val="subscript"/>
                    </w:rPr>
                    <w:t>2</w:t>
                  </w:r>
                </w:p>
              </w:tc>
              <w:tc>
                <w:tcPr>
                  <w:tcW w:w="1484" w:type="pct"/>
                  <w:tcBorders>
                    <w:top w:val="single" w:color="auto" w:sz="4" w:space="0"/>
                    <w:left w:val="single" w:color="auto" w:sz="4" w:space="0"/>
                    <w:bottom w:val="single" w:color="auto" w:sz="4" w:space="0"/>
                    <w:right w:val="single" w:color="auto" w:sz="4" w:space="0"/>
                  </w:tcBorders>
                  <w:vAlign w:val="center"/>
                </w:tcPr>
                <w:p w14:paraId="76F80040">
                  <w:pPr>
                    <w:pStyle w:val="58"/>
                    <w:rPr>
                      <w:color w:val="auto"/>
                      <w:highlight w:val="none"/>
                    </w:rPr>
                  </w:pPr>
                  <w:r>
                    <w:rPr>
                      <w:rFonts w:hint="eastAsia"/>
                      <w:color w:val="auto"/>
                      <w:highlight w:val="none"/>
                    </w:rPr>
                    <w:t>年平均质量浓度</w:t>
                  </w:r>
                </w:p>
              </w:tc>
              <w:tc>
                <w:tcPr>
                  <w:tcW w:w="663" w:type="pct"/>
                  <w:tcBorders>
                    <w:top w:val="single" w:color="auto" w:sz="4" w:space="0"/>
                    <w:left w:val="single" w:color="auto" w:sz="4" w:space="0"/>
                    <w:bottom w:val="single" w:color="auto" w:sz="4" w:space="0"/>
                    <w:right w:val="single" w:color="auto" w:sz="4" w:space="0"/>
                  </w:tcBorders>
                  <w:vAlign w:val="center"/>
                </w:tcPr>
                <w:p w14:paraId="232E8F70">
                  <w:pPr>
                    <w:pStyle w:val="58"/>
                    <w:rPr>
                      <w:color w:val="auto"/>
                      <w:szCs w:val="21"/>
                      <w:highlight w:val="none"/>
                    </w:rPr>
                  </w:pPr>
                  <w:r>
                    <w:rPr>
                      <w:color w:val="auto"/>
                      <w:szCs w:val="21"/>
                      <w:highlight w:val="none"/>
                    </w:rPr>
                    <w:t>8.</w:t>
                  </w:r>
                  <w:r>
                    <w:rPr>
                      <w:rFonts w:hint="eastAsia"/>
                      <w:color w:val="auto"/>
                      <w:szCs w:val="21"/>
                      <w:highlight w:val="none"/>
                    </w:rPr>
                    <w:t>0</w:t>
                  </w:r>
                </w:p>
              </w:tc>
              <w:tc>
                <w:tcPr>
                  <w:tcW w:w="579" w:type="pct"/>
                  <w:tcBorders>
                    <w:top w:val="single" w:color="auto" w:sz="4" w:space="0"/>
                    <w:left w:val="single" w:color="auto" w:sz="4" w:space="0"/>
                    <w:bottom w:val="single" w:color="auto" w:sz="4" w:space="0"/>
                    <w:right w:val="single" w:color="auto" w:sz="4" w:space="0"/>
                  </w:tcBorders>
                  <w:vAlign w:val="center"/>
                </w:tcPr>
                <w:p w14:paraId="4C417CA6">
                  <w:pPr>
                    <w:pStyle w:val="58"/>
                    <w:rPr>
                      <w:color w:val="auto"/>
                      <w:szCs w:val="21"/>
                      <w:highlight w:val="none"/>
                    </w:rPr>
                  </w:pPr>
                  <w:r>
                    <w:rPr>
                      <w:color w:val="auto"/>
                      <w:szCs w:val="21"/>
                      <w:highlight w:val="none"/>
                    </w:rPr>
                    <w:t>60</w:t>
                  </w:r>
                </w:p>
              </w:tc>
              <w:tc>
                <w:tcPr>
                  <w:tcW w:w="661" w:type="pct"/>
                  <w:tcBorders>
                    <w:top w:val="single" w:color="auto" w:sz="4" w:space="0"/>
                    <w:left w:val="single" w:color="auto" w:sz="4" w:space="0"/>
                    <w:bottom w:val="single" w:color="auto" w:sz="4" w:space="0"/>
                    <w:right w:val="single" w:color="auto" w:sz="4" w:space="0"/>
                  </w:tcBorders>
                  <w:vAlign w:val="center"/>
                </w:tcPr>
                <w:p w14:paraId="0757D8A8">
                  <w:pPr>
                    <w:pStyle w:val="58"/>
                    <w:rPr>
                      <w:color w:val="auto"/>
                      <w:szCs w:val="21"/>
                      <w:highlight w:val="none"/>
                    </w:rPr>
                  </w:pPr>
                  <w:r>
                    <w:rPr>
                      <w:color w:val="auto"/>
                      <w:szCs w:val="21"/>
                      <w:highlight w:val="none"/>
                    </w:rPr>
                    <w:t>13.</w:t>
                  </w:r>
                  <w:r>
                    <w:rPr>
                      <w:rFonts w:hint="eastAsia"/>
                      <w:color w:val="auto"/>
                      <w:szCs w:val="21"/>
                      <w:highlight w:val="none"/>
                    </w:rPr>
                    <w:t>3</w:t>
                  </w:r>
                </w:p>
              </w:tc>
              <w:tc>
                <w:tcPr>
                  <w:tcW w:w="622" w:type="pct"/>
                  <w:tcBorders>
                    <w:top w:val="single" w:color="auto" w:sz="4" w:space="0"/>
                    <w:left w:val="single" w:color="auto" w:sz="4" w:space="0"/>
                    <w:bottom w:val="single" w:color="auto" w:sz="4" w:space="0"/>
                    <w:right w:val="nil"/>
                  </w:tcBorders>
                  <w:vAlign w:val="center"/>
                </w:tcPr>
                <w:p w14:paraId="501F4B2B">
                  <w:pPr>
                    <w:pStyle w:val="58"/>
                    <w:rPr>
                      <w:color w:val="auto"/>
                      <w:highlight w:val="none"/>
                    </w:rPr>
                  </w:pPr>
                  <w:r>
                    <w:rPr>
                      <w:rFonts w:hint="eastAsia"/>
                      <w:color w:val="auto"/>
                      <w:highlight w:val="none"/>
                    </w:rPr>
                    <w:t>达标</w:t>
                  </w:r>
                </w:p>
              </w:tc>
            </w:tr>
            <w:tr w14:paraId="1C414F59">
              <w:tblPrEx>
                <w:tblCellMar>
                  <w:top w:w="0" w:type="dxa"/>
                  <w:left w:w="17" w:type="dxa"/>
                  <w:bottom w:w="0" w:type="dxa"/>
                  <w:right w:w="17" w:type="dxa"/>
                </w:tblCellMar>
              </w:tblPrEx>
              <w:trPr>
                <w:cantSplit/>
                <w:trHeight w:val="340" w:hRule="atLeast"/>
              </w:trPr>
              <w:tc>
                <w:tcPr>
                  <w:tcW w:w="499" w:type="pct"/>
                  <w:vMerge w:val="continue"/>
                  <w:tcBorders>
                    <w:top w:val="single" w:color="auto" w:sz="4" w:space="0"/>
                    <w:left w:val="nil"/>
                    <w:bottom w:val="single" w:color="auto" w:sz="12" w:space="0"/>
                    <w:right w:val="single" w:color="auto" w:sz="4" w:space="0"/>
                  </w:tcBorders>
                  <w:vAlign w:val="center"/>
                </w:tcPr>
                <w:p w14:paraId="48D16468">
                  <w:pPr>
                    <w:pStyle w:val="58"/>
                    <w:rPr>
                      <w:color w:val="auto"/>
                      <w:highlight w:val="none"/>
                    </w:rPr>
                  </w:pPr>
                </w:p>
              </w:tc>
              <w:tc>
                <w:tcPr>
                  <w:tcW w:w="489" w:type="pct"/>
                  <w:tcBorders>
                    <w:top w:val="single" w:color="auto" w:sz="4" w:space="0"/>
                    <w:left w:val="single" w:color="auto" w:sz="4" w:space="0"/>
                    <w:bottom w:val="single" w:color="auto" w:sz="4" w:space="0"/>
                    <w:right w:val="single" w:color="auto" w:sz="4" w:space="0"/>
                  </w:tcBorders>
                  <w:vAlign w:val="center"/>
                </w:tcPr>
                <w:p w14:paraId="2405C20C">
                  <w:pPr>
                    <w:pStyle w:val="58"/>
                    <w:rPr>
                      <w:color w:val="auto"/>
                      <w:highlight w:val="none"/>
                    </w:rPr>
                  </w:pPr>
                  <w:r>
                    <w:rPr>
                      <w:color w:val="auto"/>
                      <w:highlight w:val="none"/>
                    </w:rPr>
                    <w:t>NO</w:t>
                  </w:r>
                  <w:r>
                    <w:rPr>
                      <w:color w:val="auto"/>
                      <w:highlight w:val="none"/>
                      <w:vertAlign w:val="subscript"/>
                    </w:rPr>
                    <w:t>2</w:t>
                  </w:r>
                </w:p>
              </w:tc>
              <w:tc>
                <w:tcPr>
                  <w:tcW w:w="1484" w:type="pct"/>
                  <w:tcBorders>
                    <w:top w:val="single" w:color="auto" w:sz="4" w:space="0"/>
                    <w:left w:val="single" w:color="auto" w:sz="4" w:space="0"/>
                    <w:bottom w:val="single" w:color="auto" w:sz="4" w:space="0"/>
                    <w:right w:val="single" w:color="auto" w:sz="4" w:space="0"/>
                  </w:tcBorders>
                  <w:vAlign w:val="center"/>
                </w:tcPr>
                <w:p w14:paraId="0BF21F27">
                  <w:pPr>
                    <w:pStyle w:val="58"/>
                    <w:rPr>
                      <w:color w:val="auto"/>
                      <w:highlight w:val="none"/>
                    </w:rPr>
                  </w:pPr>
                  <w:r>
                    <w:rPr>
                      <w:rFonts w:hint="eastAsia"/>
                      <w:color w:val="auto"/>
                      <w:highlight w:val="none"/>
                    </w:rPr>
                    <w:t>年平均质量浓度</w:t>
                  </w:r>
                </w:p>
              </w:tc>
              <w:tc>
                <w:tcPr>
                  <w:tcW w:w="663" w:type="pct"/>
                  <w:tcBorders>
                    <w:top w:val="single" w:color="auto" w:sz="4" w:space="0"/>
                    <w:left w:val="single" w:color="auto" w:sz="4" w:space="0"/>
                    <w:bottom w:val="single" w:color="auto" w:sz="4" w:space="0"/>
                    <w:right w:val="single" w:color="auto" w:sz="4" w:space="0"/>
                  </w:tcBorders>
                  <w:vAlign w:val="center"/>
                </w:tcPr>
                <w:p w14:paraId="62A1D802">
                  <w:pPr>
                    <w:pStyle w:val="58"/>
                    <w:rPr>
                      <w:color w:val="auto"/>
                      <w:szCs w:val="21"/>
                      <w:highlight w:val="none"/>
                    </w:rPr>
                  </w:pPr>
                  <w:r>
                    <w:rPr>
                      <w:rFonts w:hint="eastAsia"/>
                      <w:color w:val="auto"/>
                      <w:szCs w:val="21"/>
                      <w:highlight w:val="none"/>
                    </w:rPr>
                    <w:t>33.1</w:t>
                  </w:r>
                </w:p>
              </w:tc>
              <w:tc>
                <w:tcPr>
                  <w:tcW w:w="579" w:type="pct"/>
                  <w:tcBorders>
                    <w:top w:val="single" w:color="auto" w:sz="4" w:space="0"/>
                    <w:left w:val="single" w:color="auto" w:sz="4" w:space="0"/>
                    <w:bottom w:val="single" w:color="auto" w:sz="4" w:space="0"/>
                    <w:right w:val="single" w:color="auto" w:sz="4" w:space="0"/>
                  </w:tcBorders>
                  <w:vAlign w:val="center"/>
                </w:tcPr>
                <w:p w14:paraId="75E8B172">
                  <w:pPr>
                    <w:pStyle w:val="58"/>
                    <w:rPr>
                      <w:color w:val="auto"/>
                      <w:szCs w:val="21"/>
                      <w:highlight w:val="none"/>
                    </w:rPr>
                  </w:pPr>
                  <w:r>
                    <w:rPr>
                      <w:color w:val="auto"/>
                      <w:szCs w:val="21"/>
                      <w:highlight w:val="none"/>
                    </w:rPr>
                    <w:t>40</w:t>
                  </w:r>
                </w:p>
              </w:tc>
              <w:tc>
                <w:tcPr>
                  <w:tcW w:w="661" w:type="pct"/>
                  <w:tcBorders>
                    <w:top w:val="single" w:color="auto" w:sz="4" w:space="0"/>
                    <w:left w:val="single" w:color="auto" w:sz="4" w:space="0"/>
                    <w:bottom w:val="single" w:color="auto" w:sz="4" w:space="0"/>
                    <w:right w:val="single" w:color="auto" w:sz="4" w:space="0"/>
                  </w:tcBorders>
                  <w:vAlign w:val="center"/>
                </w:tcPr>
                <w:p w14:paraId="7AEC51C1">
                  <w:pPr>
                    <w:pStyle w:val="58"/>
                    <w:rPr>
                      <w:color w:val="auto"/>
                      <w:szCs w:val="21"/>
                      <w:highlight w:val="none"/>
                    </w:rPr>
                  </w:pPr>
                  <w:r>
                    <w:rPr>
                      <w:rFonts w:hint="eastAsia"/>
                      <w:color w:val="auto"/>
                      <w:szCs w:val="21"/>
                      <w:highlight w:val="none"/>
                    </w:rPr>
                    <w:t>82.75</w:t>
                  </w:r>
                </w:p>
              </w:tc>
              <w:tc>
                <w:tcPr>
                  <w:tcW w:w="622" w:type="pct"/>
                  <w:tcBorders>
                    <w:top w:val="single" w:color="auto" w:sz="4" w:space="0"/>
                    <w:left w:val="single" w:color="auto" w:sz="4" w:space="0"/>
                    <w:bottom w:val="single" w:color="auto" w:sz="4" w:space="0"/>
                    <w:right w:val="nil"/>
                  </w:tcBorders>
                  <w:vAlign w:val="center"/>
                </w:tcPr>
                <w:p w14:paraId="57095651">
                  <w:pPr>
                    <w:pStyle w:val="58"/>
                    <w:rPr>
                      <w:color w:val="auto"/>
                      <w:highlight w:val="none"/>
                    </w:rPr>
                  </w:pPr>
                  <w:r>
                    <w:rPr>
                      <w:rFonts w:hint="eastAsia"/>
                      <w:color w:val="auto"/>
                      <w:highlight w:val="none"/>
                    </w:rPr>
                    <w:t>达标</w:t>
                  </w:r>
                </w:p>
              </w:tc>
            </w:tr>
            <w:tr w14:paraId="14F6FC03">
              <w:tblPrEx>
                <w:tblCellMar>
                  <w:top w:w="0" w:type="dxa"/>
                  <w:left w:w="17" w:type="dxa"/>
                  <w:bottom w:w="0" w:type="dxa"/>
                  <w:right w:w="17" w:type="dxa"/>
                </w:tblCellMar>
              </w:tblPrEx>
              <w:trPr>
                <w:cantSplit/>
                <w:trHeight w:val="340" w:hRule="atLeast"/>
              </w:trPr>
              <w:tc>
                <w:tcPr>
                  <w:tcW w:w="499" w:type="pct"/>
                  <w:vMerge w:val="continue"/>
                  <w:tcBorders>
                    <w:top w:val="single" w:color="auto" w:sz="4" w:space="0"/>
                    <w:left w:val="nil"/>
                    <w:bottom w:val="single" w:color="auto" w:sz="12" w:space="0"/>
                    <w:right w:val="single" w:color="auto" w:sz="4" w:space="0"/>
                  </w:tcBorders>
                  <w:vAlign w:val="center"/>
                </w:tcPr>
                <w:p w14:paraId="108DCEB8">
                  <w:pPr>
                    <w:pStyle w:val="58"/>
                    <w:rPr>
                      <w:color w:val="auto"/>
                      <w:highlight w:val="none"/>
                    </w:rPr>
                  </w:pPr>
                </w:p>
              </w:tc>
              <w:tc>
                <w:tcPr>
                  <w:tcW w:w="489" w:type="pct"/>
                  <w:tcBorders>
                    <w:top w:val="single" w:color="auto" w:sz="4" w:space="0"/>
                    <w:left w:val="single" w:color="auto" w:sz="4" w:space="0"/>
                    <w:bottom w:val="single" w:color="auto" w:sz="4" w:space="0"/>
                    <w:right w:val="single" w:color="auto" w:sz="4" w:space="0"/>
                  </w:tcBorders>
                  <w:vAlign w:val="center"/>
                </w:tcPr>
                <w:p w14:paraId="2B4023F7">
                  <w:pPr>
                    <w:pStyle w:val="58"/>
                    <w:rPr>
                      <w:color w:val="auto"/>
                      <w:highlight w:val="none"/>
                    </w:rPr>
                  </w:pPr>
                  <w:r>
                    <w:rPr>
                      <w:color w:val="auto"/>
                      <w:highlight w:val="none"/>
                    </w:rPr>
                    <w:t>PM</w:t>
                  </w:r>
                  <w:r>
                    <w:rPr>
                      <w:color w:val="auto"/>
                      <w:highlight w:val="none"/>
                      <w:vertAlign w:val="subscript"/>
                    </w:rPr>
                    <w:t>10</w:t>
                  </w:r>
                </w:p>
              </w:tc>
              <w:tc>
                <w:tcPr>
                  <w:tcW w:w="1484" w:type="pct"/>
                  <w:tcBorders>
                    <w:top w:val="single" w:color="auto" w:sz="4" w:space="0"/>
                    <w:left w:val="single" w:color="auto" w:sz="4" w:space="0"/>
                    <w:bottom w:val="single" w:color="auto" w:sz="4" w:space="0"/>
                    <w:right w:val="single" w:color="auto" w:sz="4" w:space="0"/>
                  </w:tcBorders>
                  <w:vAlign w:val="center"/>
                </w:tcPr>
                <w:p w14:paraId="56B07A45">
                  <w:pPr>
                    <w:pStyle w:val="58"/>
                    <w:rPr>
                      <w:color w:val="auto"/>
                      <w:highlight w:val="none"/>
                    </w:rPr>
                  </w:pPr>
                  <w:r>
                    <w:rPr>
                      <w:rFonts w:hint="eastAsia"/>
                      <w:color w:val="auto"/>
                      <w:highlight w:val="none"/>
                    </w:rPr>
                    <w:t>年平均质量浓度</w:t>
                  </w:r>
                </w:p>
              </w:tc>
              <w:tc>
                <w:tcPr>
                  <w:tcW w:w="663" w:type="pct"/>
                  <w:tcBorders>
                    <w:top w:val="single" w:color="auto" w:sz="4" w:space="0"/>
                    <w:left w:val="single" w:color="auto" w:sz="4" w:space="0"/>
                    <w:bottom w:val="single" w:color="auto" w:sz="4" w:space="0"/>
                    <w:right w:val="single" w:color="auto" w:sz="4" w:space="0"/>
                  </w:tcBorders>
                  <w:vAlign w:val="center"/>
                </w:tcPr>
                <w:p w14:paraId="4B4F841B">
                  <w:pPr>
                    <w:pStyle w:val="58"/>
                    <w:rPr>
                      <w:color w:val="auto"/>
                      <w:szCs w:val="21"/>
                      <w:highlight w:val="none"/>
                    </w:rPr>
                  </w:pPr>
                  <w:r>
                    <w:rPr>
                      <w:rFonts w:hint="eastAsia"/>
                      <w:color w:val="auto"/>
                      <w:szCs w:val="21"/>
                      <w:highlight w:val="none"/>
                    </w:rPr>
                    <w:t>51.7</w:t>
                  </w:r>
                </w:p>
              </w:tc>
              <w:tc>
                <w:tcPr>
                  <w:tcW w:w="579" w:type="pct"/>
                  <w:tcBorders>
                    <w:top w:val="single" w:color="auto" w:sz="4" w:space="0"/>
                    <w:left w:val="single" w:color="auto" w:sz="4" w:space="0"/>
                    <w:bottom w:val="single" w:color="auto" w:sz="4" w:space="0"/>
                    <w:right w:val="single" w:color="auto" w:sz="4" w:space="0"/>
                  </w:tcBorders>
                  <w:vAlign w:val="center"/>
                </w:tcPr>
                <w:p w14:paraId="448BCDE2">
                  <w:pPr>
                    <w:pStyle w:val="58"/>
                    <w:rPr>
                      <w:color w:val="auto"/>
                      <w:szCs w:val="21"/>
                      <w:highlight w:val="none"/>
                    </w:rPr>
                  </w:pPr>
                  <w:r>
                    <w:rPr>
                      <w:color w:val="auto"/>
                      <w:szCs w:val="21"/>
                      <w:highlight w:val="none"/>
                    </w:rPr>
                    <w:t>70</w:t>
                  </w:r>
                </w:p>
              </w:tc>
              <w:tc>
                <w:tcPr>
                  <w:tcW w:w="661" w:type="pct"/>
                  <w:tcBorders>
                    <w:top w:val="single" w:color="auto" w:sz="4" w:space="0"/>
                    <w:left w:val="single" w:color="auto" w:sz="4" w:space="0"/>
                    <w:bottom w:val="single" w:color="auto" w:sz="4" w:space="0"/>
                    <w:right w:val="single" w:color="auto" w:sz="4" w:space="0"/>
                  </w:tcBorders>
                  <w:vAlign w:val="center"/>
                </w:tcPr>
                <w:p w14:paraId="42663B48">
                  <w:pPr>
                    <w:pStyle w:val="58"/>
                    <w:rPr>
                      <w:color w:val="auto"/>
                      <w:szCs w:val="21"/>
                      <w:highlight w:val="none"/>
                    </w:rPr>
                  </w:pPr>
                  <w:r>
                    <w:rPr>
                      <w:rFonts w:hint="eastAsia"/>
                      <w:color w:val="auto"/>
                      <w:szCs w:val="21"/>
                      <w:highlight w:val="none"/>
                    </w:rPr>
                    <w:t>73.86</w:t>
                  </w:r>
                </w:p>
              </w:tc>
              <w:tc>
                <w:tcPr>
                  <w:tcW w:w="622" w:type="pct"/>
                  <w:tcBorders>
                    <w:top w:val="single" w:color="auto" w:sz="4" w:space="0"/>
                    <w:left w:val="single" w:color="auto" w:sz="4" w:space="0"/>
                    <w:bottom w:val="single" w:color="auto" w:sz="4" w:space="0"/>
                    <w:right w:val="nil"/>
                  </w:tcBorders>
                  <w:vAlign w:val="center"/>
                </w:tcPr>
                <w:p w14:paraId="66FD0D60">
                  <w:pPr>
                    <w:pStyle w:val="58"/>
                    <w:rPr>
                      <w:color w:val="auto"/>
                      <w:highlight w:val="none"/>
                    </w:rPr>
                  </w:pPr>
                  <w:r>
                    <w:rPr>
                      <w:rFonts w:hint="eastAsia"/>
                      <w:color w:val="auto"/>
                      <w:highlight w:val="none"/>
                    </w:rPr>
                    <w:t>达标</w:t>
                  </w:r>
                </w:p>
              </w:tc>
            </w:tr>
            <w:tr w14:paraId="143A93D5">
              <w:tblPrEx>
                <w:tblCellMar>
                  <w:top w:w="0" w:type="dxa"/>
                  <w:left w:w="17" w:type="dxa"/>
                  <w:bottom w:w="0" w:type="dxa"/>
                  <w:right w:w="17" w:type="dxa"/>
                </w:tblCellMar>
              </w:tblPrEx>
              <w:trPr>
                <w:cantSplit/>
                <w:trHeight w:val="340" w:hRule="atLeast"/>
              </w:trPr>
              <w:tc>
                <w:tcPr>
                  <w:tcW w:w="499" w:type="pct"/>
                  <w:vMerge w:val="continue"/>
                  <w:tcBorders>
                    <w:top w:val="single" w:color="auto" w:sz="4" w:space="0"/>
                    <w:left w:val="nil"/>
                    <w:bottom w:val="single" w:color="auto" w:sz="12" w:space="0"/>
                    <w:right w:val="single" w:color="auto" w:sz="4" w:space="0"/>
                  </w:tcBorders>
                  <w:vAlign w:val="center"/>
                </w:tcPr>
                <w:p w14:paraId="622EB44A">
                  <w:pPr>
                    <w:pStyle w:val="58"/>
                    <w:rPr>
                      <w:color w:val="auto"/>
                      <w:highlight w:val="none"/>
                    </w:rPr>
                  </w:pPr>
                </w:p>
              </w:tc>
              <w:tc>
                <w:tcPr>
                  <w:tcW w:w="489" w:type="pct"/>
                  <w:tcBorders>
                    <w:top w:val="single" w:color="auto" w:sz="4" w:space="0"/>
                    <w:left w:val="single" w:color="auto" w:sz="4" w:space="0"/>
                    <w:bottom w:val="single" w:color="auto" w:sz="4" w:space="0"/>
                    <w:right w:val="single" w:color="auto" w:sz="4" w:space="0"/>
                  </w:tcBorders>
                  <w:vAlign w:val="center"/>
                </w:tcPr>
                <w:p w14:paraId="34C75360">
                  <w:pPr>
                    <w:pStyle w:val="58"/>
                    <w:rPr>
                      <w:color w:val="auto"/>
                      <w:highlight w:val="none"/>
                    </w:rPr>
                  </w:pPr>
                  <w:r>
                    <w:rPr>
                      <w:color w:val="auto"/>
                      <w:highlight w:val="none"/>
                    </w:rPr>
                    <w:t>PM</w:t>
                  </w:r>
                  <w:r>
                    <w:rPr>
                      <w:color w:val="auto"/>
                      <w:highlight w:val="none"/>
                      <w:vertAlign w:val="subscript"/>
                    </w:rPr>
                    <w:t>2.5</w:t>
                  </w:r>
                </w:p>
              </w:tc>
              <w:tc>
                <w:tcPr>
                  <w:tcW w:w="1484" w:type="pct"/>
                  <w:tcBorders>
                    <w:top w:val="single" w:color="auto" w:sz="4" w:space="0"/>
                    <w:left w:val="single" w:color="auto" w:sz="4" w:space="0"/>
                    <w:bottom w:val="single" w:color="auto" w:sz="4" w:space="0"/>
                    <w:right w:val="single" w:color="auto" w:sz="4" w:space="0"/>
                  </w:tcBorders>
                  <w:vAlign w:val="center"/>
                </w:tcPr>
                <w:p w14:paraId="5DD65135">
                  <w:pPr>
                    <w:pStyle w:val="58"/>
                    <w:rPr>
                      <w:color w:val="auto"/>
                      <w:highlight w:val="none"/>
                    </w:rPr>
                  </w:pPr>
                  <w:r>
                    <w:rPr>
                      <w:rFonts w:hint="eastAsia"/>
                      <w:color w:val="auto"/>
                      <w:highlight w:val="none"/>
                    </w:rPr>
                    <w:t>年平均质量浓度</w:t>
                  </w:r>
                </w:p>
              </w:tc>
              <w:tc>
                <w:tcPr>
                  <w:tcW w:w="663" w:type="pct"/>
                  <w:tcBorders>
                    <w:top w:val="single" w:color="auto" w:sz="4" w:space="0"/>
                    <w:left w:val="single" w:color="auto" w:sz="4" w:space="0"/>
                    <w:bottom w:val="single" w:color="auto" w:sz="4" w:space="0"/>
                    <w:right w:val="single" w:color="auto" w:sz="4" w:space="0"/>
                  </w:tcBorders>
                  <w:vAlign w:val="center"/>
                </w:tcPr>
                <w:p w14:paraId="01F6351A">
                  <w:pPr>
                    <w:pStyle w:val="58"/>
                    <w:rPr>
                      <w:color w:val="auto"/>
                      <w:szCs w:val="21"/>
                      <w:highlight w:val="none"/>
                    </w:rPr>
                  </w:pPr>
                  <w:r>
                    <w:rPr>
                      <w:rFonts w:hint="eastAsia"/>
                      <w:color w:val="auto"/>
                      <w:szCs w:val="21"/>
                      <w:highlight w:val="none"/>
                    </w:rPr>
                    <w:t>32</w:t>
                  </w:r>
                </w:p>
              </w:tc>
              <w:tc>
                <w:tcPr>
                  <w:tcW w:w="579" w:type="pct"/>
                  <w:tcBorders>
                    <w:top w:val="single" w:color="auto" w:sz="4" w:space="0"/>
                    <w:left w:val="single" w:color="auto" w:sz="4" w:space="0"/>
                    <w:bottom w:val="single" w:color="auto" w:sz="4" w:space="0"/>
                    <w:right w:val="single" w:color="auto" w:sz="4" w:space="0"/>
                  </w:tcBorders>
                  <w:vAlign w:val="center"/>
                </w:tcPr>
                <w:p w14:paraId="5D5FC790">
                  <w:pPr>
                    <w:pStyle w:val="58"/>
                    <w:rPr>
                      <w:color w:val="auto"/>
                      <w:szCs w:val="21"/>
                      <w:highlight w:val="none"/>
                    </w:rPr>
                  </w:pPr>
                  <w:r>
                    <w:rPr>
                      <w:color w:val="auto"/>
                      <w:szCs w:val="21"/>
                      <w:highlight w:val="none"/>
                    </w:rPr>
                    <w:t>35</w:t>
                  </w:r>
                </w:p>
              </w:tc>
              <w:tc>
                <w:tcPr>
                  <w:tcW w:w="661" w:type="pct"/>
                  <w:tcBorders>
                    <w:top w:val="single" w:color="auto" w:sz="4" w:space="0"/>
                    <w:left w:val="single" w:color="auto" w:sz="4" w:space="0"/>
                    <w:bottom w:val="single" w:color="auto" w:sz="4" w:space="0"/>
                    <w:right w:val="single" w:color="auto" w:sz="4" w:space="0"/>
                  </w:tcBorders>
                  <w:vAlign w:val="center"/>
                </w:tcPr>
                <w:p w14:paraId="3E77C418">
                  <w:pPr>
                    <w:pStyle w:val="58"/>
                    <w:rPr>
                      <w:color w:val="auto"/>
                      <w:szCs w:val="21"/>
                      <w:highlight w:val="none"/>
                    </w:rPr>
                  </w:pPr>
                  <w:r>
                    <w:rPr>
                      <w:rFonts w:hint="eastAsia"/>
                      <w:color w:val="auto"/>
                      <w:szCs w:val="21"/>
                      <w:highlight w:val="none"/>
                    </w:rPr>
                    <w:t>91.43</w:t>
                  </w:r>
                </w:p>
              </w:tc>
              <w:tc>
                <w:tcPr>
                  <w:tcW w:w="622" w:type="pct"/>
                  <w:tcBorders>
                    <w:top w:val="single" w:color="auto" w:sz="4" w:space="0"/>
                    <w:left w:val="single" w:color="auto" w:sz="4" w:space="0"/>
                    <w:bottom w:val="single" w:color="auto" w:sz="4" w:space="0"/>
                    <w:right w:val="nil"/>
                  </w:tcBorders>
                  <w:vAlign w:val="center"/>
                </w:tcPr>
                <w:p w14:paraId="13AAA2F7">
                  <w:pPr>
                    <w:pStyle w:val="58"/>
                    <w:rPr>
                      <w:color w:val="auto"/>
                      <w:highlight w:val="none"/>
                    </w:rPr>
                  </w:pPr>
                  <w:r>
                    <w:rPr>
                      <w:rFonts w:hint="eastAsia"/>
                      <w:color w:val="auto"/>
                      <w:highlight w:val="none"/>
                    </w:rPr>
                    <w:t>达标</w:t>
                  </w:r>
                </w:p>
              </w:tc>
            </w:tr>
            <w:tr w14:paraId="4C8539AE">
              <w:tblPrEx>
                <w:tblCellMar>
                  <w:top w:w="0" w:type="dxa"/>
                  <w:left w:w="17" w:type="dxa"/>
                  <w:bottom w:w="0" w:type="dxa"/>
                  <w:right w:w="17" w:type="dxa"/>
                </w:tblCellMar>
              </w:tblPrEx>
              <w:trPr>
                <w:cantSplit/>
                <w:trHeight w:val="340" w:hRule="atLeast"/>
              </w:trPr>
              <w:tc>
                <w:tcPr>
                  <w:tcW w:w="499" w:type="pct"/>
                  <w:vMerge w:val="continue"/>
                  <w:tcBorders>
                    <w:top w:val="single" w:color="auto" w:sz="4" w:space="0"/>
                    <w:left w:val="nil"/>
                    <w:bottom w:val="single" w:color="auto" w:sz="12" w:space="0"/>
                    <w:right w:val="single" w:color="auto" w:sz="4" w:space="0"/>
                  </w:tcBorders>
                  <w:vAlign w:val="center"/>
                </w:tcPr>
                <w:p w14:paraId="26460B67">
                  <w:pPr>
                    <w:pStyle w:val="58"/>
                    <w:rPr>
                      <w:color w:val="auto"/>
                      <w:highlight w:val="none"/>
                    </w:rPr>
                  </w:pPr>
                </w:p>
              </w:tc>
              <w:tc>
                <w:tcPr>
                  <w:tcW w:w="489" w:type="pct"/>
                  <w:tcBorders>
                    <w:top w:val="single" w:color="auto" w:sz="4" w:space="0"/>
                    <w:left w:val="single" w:color="auto" w:sz="4" w:space="0"/>
                    <w:bottom w:val="single" w:color="auto" w:sz="4" w:space="0"/>
                    <w:right w:val="single" w:color="auto" w:sz="4" w:space="0"/>
                  </w:tcBorders>
                  <w:vAlign w:val="center"/>
                </w:tcPr>
                <w:p w14:paraId="68302AA8">
                  <w:pPr>
                    <w:pStyle w:val="58"/>
                    <w:rPr>
                      <w:color w:val="auto"/>
                      <w:highlight w:val="none"/>
                    </w:rPr>
                  </w:pPr>
                  <w:r>
                    <w:rPr>
                      <w:color w:val="auto"/>
                      <w:highlight w:val="none"/>
                    </w:rPr>
                    <w:t>CO</w:t>
                  </w:r>
                </w:p>
              </w:tc>
              <w:tc>
                <w:tcPr>
                  <w:tcW w:w="1484" w:type="pct"/>
                  <w:tcBorders>
                    <w:top w:val="single" w:color="auto" w:sz="4" w:space="0"/>
                    <w:left w:val="single" w:color="auto" w:sz="4" w:space="0"/>
                    <w:bottom w:val="single" w:color="auto" w:sz="4" w:space="0"/>
                    <w:right w:val="single" w:color="auto" w:sz="4" w:space="0"/>
                  </w:tcBorders>
                  <w:vAlign w:val="center"/>
                </w:tcPr>
                <w:p w14:paraId="1AE170BC">
                  <w:pPr>
                    <w:pStyle w:val="58"/>
                    <w:rPr>
                      <w:color w:val="auto"/>
                      <w:highlight w:val="none"/>
                    </w:rPr>
                  </w:pPr>
                  <w:r>
                    <w:rPr>
                      <w:color w:val="auto"/>
                      <w:szCs w:val="18"/>
                      <w:highlight w:val="none"/>
                    </w:rPr>
                    <w:t>24</w:t>
                  </w:r>
                  <w:r>
                    <w:rPr>
                      <w:rFonts w:hint="eastAsia"/>
                      <w:color w:val="auto"/>
                      <w:szCs w:val="18"/>
                      <w:highlight w:val="none"/>
                    </w:rPr>
                    <w:t>小时平均浓度第</w:t>
                  </w:r>
                  <w:r>
                    <w:rPr>
                      <w:color w:val="auto"/>
                      <w:szCs w:val="18"/>
                      <w:highlight w:val="none"/>
                    </w:rPr>
                    <w:t>95</w:t>
                  </w:r>
                  <w:r>
                    <w:rPr>
                      <w:rFonts w:hint="eastAsia"/>
                      <w:color w:val="auto"/>
                      <w:szCs w:val="18"/>
                      <w:highlight w:val="none"/>
                    </w:rPr>
                    <w:t>百分位数</w:t>
                  </w:r>
                </w:p>
              </w:tc>
              <w:tc>
                <w:tcPr>
                  <w:tcW w:w="663" w:type="pct"/>
                  <w:tcBorders>
                    <w:top w:val="single" w:color="auto" w:sz="4" w:space="0"/>
                    <w:left w:val="single" w:color="auto" w:sz="4" w:space="0"/>
                    <w:bottom w:val="single" w:color="auto" w:sz="4" w:space="0"/>
                    <w:right w:val="single" w:color="auto" w:sz="4" w:space="0"/>
                  </w:tcBorders>
                  <w:vAlign w:val="center"/>
                </w:tcPr>
                <w:p w14:paraId="55AE9FE2">
                  <w:pPr>
                    <w:pStyle w:val="58"/>
                    <w:rPr>
                      <w:color w:val="auto"/>
                      <w:szCs w:val="21"/>
                      <w:highlight w:val="none"/>
                    </w:rPr>
                  </w:pPr>
                  <w:r>
                    <w:rPr>
                      <w:rFonts w:hint="eastAsia"/>
                      <w:color w:val="auto"/>
                      <w:szCs w:val="21"/>
                      <w:highlight w:val="none"/>
                    </w:rPr>
                    <w:t>1134</w:t>
                  </w:r>
                </w:p>
              </w:tc>
              <w:tc>
                <w:tcPr>
                  <w:tcW w:w="579" w:type="pct"/>
                  <w:tcBorders>
                    <w:top w:val="single" w:color="auto" w:sz="4" w:space="0"/>
                    <w:left w:val="single" w:color="auto" w:sz="4" w:space="0"/>
                    <w:bottom w:val="single" w:color="auto" w:sz="4" w:space="0"/>
                    <w:right w:val="single" w:color="auto" w:sz="4" w:space="0"/>
                  </w:tcBorders>
                  <w:vAlign w:val="center"/>
                </w:tcPr>
                <w:p w14:paraId="273874CC">
                  <w:pPr>
                    <w:pStyle w:val="58"/>
                    <w:rPr>
                      <w:color w:val="auto"/>
                      <w:szCs w:val="21"/>
                      <w:highlight w:val="none"/>
                    </w:rPr>
                  </w:pPr>
                  <w:r>
                    <w:rPr>
                      <w:color w:val="auto"/>
                      <w:szCs w:val="21"/>
                      <w:highlight w:val="none"/>
                    </w:rPr>
                    <w:t>4000</w:t>
                  </w:r>
                </w:p>
              </w:tc>
              <w:tc>
                <w:tcPr>
                  <w:tcW w:w="661" w:type="pct"/>
                  <w:tcBorders>
                    <w:top w:val="single" w:color="auto" w:sz="4" w:space="0"/>
                    <w:left w:val="single" w:color="auto" w:sz="4" w:space="0"/>
                    <w:bottom w:val="single" w:color="auto" w:sz="4" w:space="0"/>
                    <w:right w:val="single" w:color="auto" w:sz="4" w:space="0"/>
                  </w:tcBorders>
                  <w:vAlign w:val="center"/>
                </w:tcPr>
                <w:p w14:paraId="3BE58BD4">
                  <w:pPr>
                    <w:pStyle w:val="58"/>
                    <w:rPr>
                      <w:color w:val="auto"/>
                      <w:szCs w:val="21"/>
                      <w:highlight w:val="none"/>
                    </w:rPr>
                  </w:pPr>
                  <w:r>
                    <w:rPr>
                      <w:rFonts w:hint="eastAsia"/>
                      <w:color w:val="auto"/>
                      <w:szCs w:val="21"/>
                      <w:highlight w:val="none"/>
                    </w:rPr>
                    <w:t>28.35</w:t>
                  </w:r>
                </w:p>
              </w:tc>
              <w:tc>
                <w:tcPr>
                  <w:tcW w:w="622" w:type="pct"/>
                  <w:tcBorders>
                    <w:top w:val="single" w:color="auto" w:sz="4" w:space="0"/>
                    <w:left w:val="single" w:color="auto" w:sz="4" w:space="0"/>
                    <w:bottom w:val="single" w:color="auto" w:sz="4" w:space="0"/>
                    <w:right w:val="nil"/>
                  </w:tcBorders>
                  <w:vAlign w:val="center"/>
                </w:tcPr>
                <w:p w14:paraId="7032160F">
                  <w:pPr>
                    <w:pStyle w:val="58"/>
                    <w:rPr>
                      <w:color w:val="auto"/>
                      <w:highlight w:val="none"/>
                    </w:rPr>
                  </w:pPr>
                  <w:r>
                    <w:rPr>
                      <w:rFonts w:hint="eastAsia"/>
                      <w:color w:val="auto"/>
                      <w:highlight w:val="none"/>
                    </w:rPr>
                    <w:t>达标</w:t>
                  </w:r>
                </w:p>
              </w:tc>
            </w:tr>
            <w:tr w14:paraId="2CD3F8C1">
              <w:tblPrEx>
                <w:tblCellMar>
                  <w:top w:w="0" w:type="dxa"/>
                  <w:left w:w="17" w:type="dxa"/>
                  <w:bottom w:w="0" w:type="dxa"/>
                  <w:right w:w="17" w:type="dxa"/>
                </w:tblCellMar>
              </w:tblPrEx>
              <w:trPr>
                <w:cantSplit/>
                <w:trHeight w:val="340" w:hRule="atLeast"/>
              </w:trPr>
              <w:tc>
                <w:tcPr>
                  <w:tcW w:w="499" w:type="pct"/>
                  <w:vMerge w:val="continue"/>
                  <w:tcBorders>
                    <w:top w:val="single" w:color="auto" w:sz="4" w:space="0"/>
                    <w:left w:val="nil"/>
                    <w:bottom w:val="single" w:color="auto" w:sz="12" w:space="0"/>
                    <w:right w:val="single" w:color="auto" w:sz="4" w:space="0"/>
                  </w:tcBorders>
                  <w:vAlign w:val="center"/>
                </w:tcPr>
                <w:p w14:paraId="2E02A858">
                  <w:pPr>
                    <w:pStyle w:val="58"/>
                    <w:rPr>
                      <w:color w:val="auto"/>
                      <w:highlight w:val="none"/>
                    </w:rPr>
                  </w:pPr>
                </w:p>
              </w:tc>
              <w:tc>
                <w:tcPr>
                  <w:tcW w:w="489" w:type="pct"/>
                  <w:tcBorders>
                    <w:top w:val="single" w:color="auto" w:sz="4" w:space="0"/>
                    <w:left w:val="single" w:color="auto" w:sz="4" w:space="0"/>
                    <w:bottom w:val="single" w:color="auto" w:sz="12" w:space="0"/>
                    <w:right w:val="single" w:color="auto" w:sz="4" w:space="0"/>
                  </w:tcBorders>
                  <w:vAlign w:val="center"/>
                </w:tcPr>
                <w:p w14:paraId="37011388">
                  <w:pPr>
                    <w:pStyle w:val="58"/>
                    <w:rPr>
                      <w:color w:val="auto"/>
                      <w:highlight w:val="none"/>
                    </w:rPr>
                  </w:pPr>
                  <w:r>
                    <w:rPr>
                      <w:color w:val="auto"/>
                      <w:highlight w:val="none"/>
                    </w:rPr>
                    <w:t>O</w:t>
                  </w:r>
                  <w:r>
                    <w:rPr>
                      <w:color w:val="auto"/>
                      <w:highlight w:val="none"/>
                      <w:vertAlign w:val="subscript"/>
                    </w:rPr>
                    <w:t>3</w:t>
                  </w:r>
                </w:p>
              </w:tc>
              <w:tc>
                <w:tcPr>
                  <w:tcW w:w="1484" w:type="pct"/>
                  <w:tcBorders>
                    <w:top w:val="single" w:color="auto" w:sz="4" w:space="0"/>
                    <w:left w:val="single" w:color="auto" w:sz="4" w:space="0"/>
                    <w:bottom w:val="single" w:color="auto" w:sz="12" w:space="0"/>
                    <w:right w:val="single" w:color="auto" w:sz="4" w:space="0"/>
                  </w:tcBorders>
                  <w:vAlign w:val="center"/>
                </w:tcPr>
                <w:p w14:paraId="3F5720E6">
                  <w:pPr>
                    <w:pStyle w:val="58"/>
                    <w:rPr>
                      <w:color w:val="auto"/>
                      <w:highlight w:val="none"/>
                    </w:rPr>
                  </w:pPr>
                  <w:r>
                    <w:rPr>
                      <w:rFonts w:hint="eastAsia"/>
                      <w:color w:val="auto"/>
                      <w:szCs w:val="18"/>
                      <w:highlight w:val="none"/>
                    </w:rPr>
                    <w:t>日最大</w:t>
                  </w:r>
                  <w:r>
                    <w:rPr>
                      <w:color w:val="auto"/>
                      <w:szCs w:val="18"/>
                      <w:highlight w:val="none"/>
                    </w:rPr>
                    <w:t>8</w:t>
                  </w:r>
                  <w:r>
                    <w:rPr>
                      <w:rFonts w:hint="eastAsia"/>
                      <w:color w:val="auto"/>
                      <w:szCs w:val="18"/>
                      <w:highlight w:val="none"/>
                    </w:rPr>
                    <w:t>小时滑动平均值的第</w:t>
                  </w:r>
                  <w:r>
                    <w:rPr>
                      <w:color w:val="auto"/>
                      <w:szCs w:val="18"/>
                      <w:highlight w:val="none"/>
                    </w:rPr>
                    <w:t>90</w:t>
                  </w:r>
                  <w:r>
                    <w:rPr>
                      <w:rFonts w:hint="eastAsia"/>
                      <w:color w:val="auto"/>
                      <w:szCs w:val="18"/>
                      <w:highlight w:val="none"/>
                    </w:rPr>
                    <w:t>百分位数</w:t>
                  </w:r>
                </w:p>
              </w:tc>
              <w:tc>
                <w:tcPr>
                  <w:tcW w:w="663" w:type="pct"/>
                  <w:tcBorders>
                    <w:top w:val="single" w:color="auto" w:sz="4" w:space="0"/>
                    <w:left w:val="single" w:color="auto" w:sz="4" w:space="0"/>
                    <w:bottom w:val="single" w:color="auto" w:sz="12" w:space="0"/>
                    <w:right w:val="single" w:color="auto" w:sz="4" w:space="0"/>
                  </w:tcBorders>
                  <w:vAlign w:val="center"/>
                </w:tcPr>
                <w:p w14:paraId="0C95DEE4">
                  <w:pPr>
                    <w:pStyle w:val="58"/>
                    <w:rPr>
                      <w:color w:val="auto"/>
                      <w:szCs w:val="21"/>
                      <w:highlight w:val="none"/>
                    </w:rPr>
                  </w:pPr>
                  <w:r>
                    <w:rPr>
                      <w:rFonts w:hint="eastAsia"/>
                      <w:color w:val="auto"/>
                      <w:szCs w:val="21"/>
                      <w:highlight w:val="none"/>
                    </w:rPr>
                    <w:t>162</w:t>
                  </w:r>
                </w:p>
              </w:tc>
              <w:tc>
                <w:tcPr>
                  <w:tcW w:w="579" w:type="pct"/>
                  <w:tcBorders>
                    <w:top w:val="single" w:color="auto" w:sz="4" w:space="0"/>
                    <w:left w:val="single" w:color="auto" w:sz="4" w:space="0"/>
                    <w:bottom w:val="single" w:color="auto" w:sz="12" w:space="0"/>
                    <w:right w:val="single" w:color="auto" w:sz="4" w:space="0"/>
                  </w:tcBorders>
                  <w:vAlign w:val="center"/>
                </w:tcPr>
                <w:p w14:paraId="6C94814E">
                  <w:pPr>
                    <w:pStyle w:val="58"/>
                    <w:rPr>
                      <w:color w:val="auto"/>
                      <w:szCs w:val="21"/>
                      <w:highlight w:val="none"/>
                    </w:rPr>
                  </w:pPr>
                  <w:r>
                    <w:rPr>
                      <w:color w:val="auto"/>
                      <w:szCs w:val="21"/>
                      <w:highlight w:val="none"/>
                    </w:rPr>
                    <w:t>160</w:t>
                  </w:r>
                </w:p>
              </w:tc>
              <w:tc>
                <w:tcPr>
                  <w:tcW w:w="661" w:type="pct"/>
                  <w:tcBorders>
                    <w:top w:val="single" w:color="auto" w:sz="4" w:space="0"/>
                    <w:left w:val="single" w:color="auto" w:sz="4" w:space="0"/>
                    <w:bottom w:val="single" w:color="auto" w:sz="12" w:space="0"/>
                    <w:right w:val="single" w:color="auto" w:sz="4" w:space="0"/>
                  </w:tcBorders>
                  <w:vAlign w:val="center"/>
                </w:tcPr>
                <w:p w14:paraId="18317B2F">
                  <w:pPr>
                    <w:pStyle w:val="58"/>
                    <w:rPr>
                      <w:color w:val="auto"/>
                      <w:szCs w:val="21"/>
                      <w:highlight w:val="none"/>
                    </w:rPr>
                  </w:pPr>
                  <w:r>
                    <w:rPr>
                      <w:rFonts w:hint="eastAsia"/>
                      <w:color w:val="auto"/>
                      <w:szCs w:val="21"/>
                      <w:highlight w:val="none"/>
                    </w:rPr>
                    <w:t>101.25</w:t>
                  </w:r>
                </w:p>
              </w:tc>
              <w:tc>
                <w:tcPr>
                  <w:tcW w:w="622" w:type="pct"/>
                  <w:tcBorders>
                    <w:top w:val="single" w:color="auto" w:sz="4" w:space="0"/>
                    <w:left w:val="single" w:color="auto" w:sz="4" w:space="0"/>
                    <w:bottom w:val="single" w:color="auto" w:sz="12" w:space="0"/>
                    <w:right w:val="nil"/>
                  </w:tcBorders>
                  <w:vAlign w:val="center"/>
                </w:tcPr>
                <w:p w14:paraId="3D4F78A4">
                  <w:pPr>
                    <w:pStyle w:val="58"/>
                    <w:rPr>
                      <w:color w:val="auto"/>
                      <w:highlight w:val="none"/>
                    </w:rPr>
                  </w:pPr>
                  <w:r>
                    <w:rPr>
                      <w:rFonts w:hint="eastAsia"/>
                      <w:color w:val="auto"/>
                      <w:highlight w:val="none"/>
                    </w:rPr>
                    <w:t>不达标</w:t>
                  </w:r>
                </w:p>
              </w:tc>
            </w:tr>
          </w:tbl>
          <w:p w14:paraId="5AFAE166">
            <w:pPr>
              <w:snapToGrid w:val="0"/>
              <w:spacing w:line="360" w:lineRule="auto"/>
              <w:ind w:firstLine="496" w:firstLineChars="200"/>
              <w:outlineLvl w:val="4"/>
              <w:rPr>
                <w:color w:val="auto"/>
                <w:spacing w:val="4"/>
                <w:highlight w:val="none"/>
              </w:rPr>
            </w:pPr>
            <w:r>
              <w:rPr>
                <w:rFonts w:hint="eastAsia"/>
                <w:color w:val="auto"/>
                <w:spacing w:val="4"/>
                <w:highlight w:val="none"/>
              </w:rPr>
              <w:t>根据《</w:t>
            </w:r>
            <w:r>
              <w:rPr>
                <w:color w:val="auto"/>
                <w:spacing w:val="4"/>
                <w:highlight w:val="none"/>
              </w:rPr>
              <w:t>202</w:t>
            </w:r>
            <w:r>
              <w:rPr>
                <w:rFonts w:hint="eastAsia"/>
                <w:color w:val="auto"/>
                <w:spacing w:val="4"/>
                <w:highlight w:val="none"/>
              </w:rPr>
              <w:t>4年度江阴市生态环境状况公报》，建设项目所在区域</w:t>
            </w:r>
            <w:r>
              <w:rPr>
                <w:color w:val="auto"/>
                <w:highlight w:val="none"/>
              </w:rPr>
              <w:t>SO</w:t>
            </w:r>
            <w:r>
              <w:rPr>
                <w:color w:val="auto"/>
                <w:highlight w:val="none"/>
                <w:vertAlign w:val="subscript"/>
              </w:rPr>
              <w:t>2</w:t>
            </w:r>
            <w:r>
              <w:rPr>
                <w:color w:val="auto"/>
                <w:highlight w:val="none"/>
              </w:rPr>
              <w:t>、</w:t>
            </w:r>
            <w:r>
              <w:rPr>
                <w:bCs/>
                <w:color w:val="auto"/>
                <w:kern w:val="4"/>
                <w:highlight w:val="none"/>
              </w:rPr>
              <w:t>NO</w:t>
            </w:r>
            <w:r>
              <w:rPr>
                <w:bCs/>
                <w:color w:val="auto"/>
                <w:kern w:val="4"/>
                <w:highlight w:val="none"/>
                <w:vertAlign w:val="subscript"/>
              </w:rPr>
              <w:t>2</w:t>
            </w:r>
            <w:r>
              <w:rPr>
                <w:bCs/>
                <w:color w:val="auto"/>
                <w:kern w:val="4"/>
                <w:highlight w:val="none"/>
              </w:rPr>
              <w:t>、</w:t>
            </w:r>
            <w:r>
              <w:rPr>
                <w:color w:val="auto"/>
                <w:highlight w:val="none"/>
              </w:rPr>
              <w:t>PM</w:t>
            </w:r>
            <w:r>
              <w:rPr>
                <w:color w:val="auto"/>
                <w:highlight w:val="none"/>
                <w:vertAlign w:val="subscript"/>
              </w:rPr>
              <w:t>10</w:t>
            </w:r>
            <w:r>
              <w:rPr>
                <w:color w:val="auto"/>
                <w:highlight w:val="none"/>
              </w:rPr>
              <w:t>、PM</w:t>
            </w:r>
            <w:r>
              <w:rPr>
                <w:color w:val="auto"/>
                <w:highlight w:val="none"/>
                <w:vertAlign w:val="subscript"/>
              </w:rPr>
              <w:t>2.5</w:t>
            </w:r>
            <w:r>
              <w:rPr>
                <w:bCs/>
                <w:color w:val="auto"/>
                <w:kern w:val="4"/>
                <w:highlight w:val="none"/>
              </w:rPr>
              <w:t>年均浓度</w:t>
            </w:r>
            <w:r>
              <w:rPr>
                <w:color w:val="auto"/>
                <w:highlight w:val="none"/>
              </w:rPr>
              <w:t>、CO日均浓度</w:t>
            </w:r>
            <w:r>
              <w:rPr>
                <w:color w:val="auto"/>
                <w:highlight w:val="none"/>
                <w:lang w:bidi="ar"/>
              </w:rPr>
              <w:t>达到《环境空气质量标准》（GB3095-2012）表1中二级标准，O</w:t>
            </w:r>
            <w:r>
              <w:rPr>
                <w:color w:val="auto"/>
                <w:highlight w:val="none"/>
                <w:vertAlign w:val="subscript"/>
                <w:lang w:bidi="ar"/>
              </w:rPr>
              <w:t>3</w:t>
            </w:r>
            <w:r>
              <w:rPr>
                <w:bCs/>
                <w:color w:val="auto"/>
                <w:spacing w:val="8"/>
                <w:highlight w:val="none"/>
              </w:rPr>
              <w:t>日最大8小时平均浓度</w:t>
            </w:r>
            <w:r>
              <w:rPr>
                <w:color w:val="auto"/>
                <w:highlight w:val="none"/>
                <w:lang w:bidi="ar"/>
              </w:rPr>
              <w:t>超出《环境空气质量标准》（GB3095-2012）表1中二级标准</w:t>
            </w:r>
            <w:r>
              <w:rPr>
                <w:rFonts w:hint="eastAsia"/>
                <w:color w:val="auto"/>
                <w:spacing w:val="4"/>
                <w:highlight w:val="none"/>
              </w:rPr>
              <w:t>，因此，判定为不达标区。</w:t>
            </w:r>
          </w:p>
          <w:p w14:paraId="65A5E55D">
            <w:pPr>
              <w:pStyle w:val="77"/>
              <w:ind w:firstLine="482"/>
              <w:rPr>
                <w:b/>
                <w:bCs/>
                <w:color w:val="auto"/>
                <w:sz w:val="24"/>
                <w:szCs w:val="24"/>
                <w:highlight w:val="none"/>
              </w:rPr>
            </w:pPr>
            <w:r>
              <w:rPr>
                <w:b/>
                <w:bCs/>
                <w:color w:val="auto"/>
                <w:sz w:val="24"/>
                <w:szCs w:val="24"/>
                <w:highlight w:val="none"/>
              </w:rPr>
              <w:t>2</w:t>
            </w:r>
            <w:r>
              <w:rPr>
                <w:rFonts w:hint="eastAsia"/>
                <w:b/>
                <w:bCs/>
                <w:color w:val="auto"/>
                <w:sz w:val="24"/>
                <w:szCs w:val="24"/>
                <w:highlight w:val="none"/>
              </w:rPr>
              <w:t>、地表水</w:t>
            </w:r>
          </w:p>
          <w:p w14:paraId="285CFC6D">
            <w:pPr>
              <w:pStyle w:val="56"/>
              <w:ind w:firstLine="496"/>
              <w:rPr>
                <w:color w:val="auto"/>
                <w:highlight w:val="none"/>
              </w:rPr>
            </w:pPr>
            <w:r>
              <w:rPr>
                <w:rFonts w:hint="eastAsia"/>
                <w:color w:val="auto"/>
                <w:highlight w:val="none"/>
              </w:rPr>
              <w:t>根据《建设项目环境影响报告表编制技术指南（污染影响类）》（</w:t>
            </w:r>
            <w:r>
              <w:rPr>
                <w:color w:val="auto"/>
                <w:highlight w:val="none"/>
              </w:rPr>
              <w:t>2021</w:t>
            </w:r>
            <w:r>
              <w:rPr>
                <w:rFonts w:hint="eastAsia"/>
                <w:color w:val="auto"/>
                <w:highlight w:val="none"/>
              </w:rPr>
              <w:t>年试行</w:t>
            </w:r>
            <w:r>
              <w:rPr>
                <w:color w:val="auto"/>
                <w:highlight w:val="none"/>
              </w:rPr>
              <w:t>)</w:t>
            </w:r>
            <w:r>
              <w:rPr>
                <w:rFonts w:hint="eastAsia"/>
                <w:color w:val="auto"/>
                <w:highlight w:val="none"/>
              </w:rPr>
              <w:t>，引用与建设项目距离近的有效数据，包括近</w:t>
            </w:r>
            <w:r>
              <w:rPr>
                <w:color w:val="auto"/>
                <w:highlight w:val="none"/>
              </w:rPr>
              <w:t>3</w:t>
            </w:r>
            <w:r>
              <w:rPr>
                <w:rFonts w:hint="eastAsia"/>
                <w:color w:val="auto"/>
                <w:highlight w:val="none"/>
              </w:rPr>
              <w:t>年的规划环境影响评价的监测数据，所在流域控制单元内国家、地方控制断面监测数据，生态环境主管部门发布的水环境质量数据或地表水达标情况的结论。</w:t>
            </w:r>
          </w:p>
          <w:p w14:paraId="124C9AB2">
            <w:pPr>
              <w:pStyle w:val="56"/>
              <w:ind w:firstLine="496"/>
              <w:rPr>
                <w:color w:val="auto"/>
                <w:highlight w:val="none"/>
              </w:rPr>
            </w:pPr>
            <w:r>
              <w:rPr>
                <w:rFonts w:hint="eastAsia"/>
                <w:color w:val="auto"/>
                <w:szCs w:val="24"/>
                <w:highlight w:val="none"/>
              </w:rPr>
              <w:t>根据《2024年度</w:t>
            </w:r>
            <w:r>
              <w:rPr>
                <w:rFonts w:hAnsi="宋体"/>
                <w:color w:val="auto"/>
                <w:szCs w:val="24"/>
                <w:highlight w:val="none"/>
              </w:rPr>
              <w:t>江阴市</w:t>
            </w:r>
            <w:r>
              <w:rPr>
                <w:rFonts w:hint="eastAsia" w:hAnsi="宋体"/>
                <w:color w:val="auto"/>
                <w:szCs w:val="24"/>
                <w:highlight w:val="none"/>
              </w:rPr>
              <w:t>生态</w:t>
            </w:r>
            <w:r>
              <w:rPr>
                <w:rFonts w:hAnsi="宋体"/>
                <w:color w:val="auto"/>
                <w:szCs w:val="24"/>
                <w:highlight w:val="none"/>
              </w:rPr>
              <w:t>环境状况公报</w:t>
            </w:r>
            <w:r>
              <w:rPr>
                <w:rFonts w:hint="eastAsia"/>
                <w:color w:val="auto"/>
                <w:szCs w:val="24"/>
                <w:highlight w:val="none"/>
              </w:rPr>
              <w:t>》，2024年，全市16条主要河流共设置地表水重点监测断面22个，其中Ⅱ类水质断面13个，Ⅲ类水质断面9个，无Ⅳ类、Ⅴ类和劣Ⅴ类水质断面。与2023年相比，总体水质变好，Ⅱ类断面比例上升4.6个百分点。</w:t>
            </w:r>
          </w:p>
          <w:p w14:paraId="1FD761E1">
            <w:pPr>
              <w:pStyle w:val="56"/>
              <w:ind w:firstLine="496"/>
              <w:rPr>
                <w:color w:val="auto"/>
                <w:highlight w:val="none"/>
              </w:rPr>
            </w:pPr>
            <w:r>
              <w:rPr>
                <w:rFonts w:hint="eastAsia"/>
                <w:color w:val="auto"/>
                <w:highlight w:val="none"/>
              </w:rPr>
              <w:t>本项目无废水产生，全厂生活污水纳污河流为锡澄运河，根据江苏省地表水（环境）功能区划，锡澄运河水质执行《地表水环境质量标准》</w:t>
            </w:r>
            <w:r>
              <w:rPr>
                <w:color w:val="auto"/>
                <w:highlight w:val="none"/>
              </w:rPr>
              <w:t>(GB3838-2002)</w:t>
            </w:r>
            <w:r>
              <w:rPr>
                <w:rFonts w:hint="eastAsia"/>
                <w:color w:val="auto"/>
                <w:highlight w:val="none"/>
              </w:rPr>
              <w:t>中的Ⅲ类标准。本报告引用江阴生态环境局公布的《</w:t>
            </w:r>
            <w:r>
              <w:rPr>
                <w:color w:val="auto"/>
                <w:highlight w:val="none"/>
              </w:rPr>
              <w:t>2024年1-6月重点考核断面水质状况表</w:t>
            </w:r>
            <w:r>
              <w:rPr>
                <w:rFonts w:hint="eastAsia"/>
                <w:color w:val="auto"/>
                <w:highlight w:val="none"/>
              </w:rPr>
              <w:t>》（信息索引号：01404053X/2024-03636）中的所述达标情况。锡澄运河</w:t>
            </w:r>
            <w:r>
              <w:rPr>
                <w:color w:val="auto"/>
                <w:highlight w:val="none"/>
              </w:rPr>
              <w:t>2023</w:t>
            </w:r>
            <w:r>
              <w:rPr>
                <w:rFonts w:hint="eastAsia"/>
                <w:color w:val="auto"/>
                <w:highlight w:val="none"/>
              </w:rPr>
              <w:t>年水质状况能达到《地表水环境质量标准》（</w:t>
            </w:r>
            <w:r>
              <w:rPr>
                <w:color w:val="auto"/>
                <w:highlight w:val="none"/>
              </w:rPr>
              <w:t>GB3838-2002</w:t>
            </w:r>
            <w:r>
              <w:rPr>
                <w:rFonts w:hint="eastAsia"/>
                <w:color w:val="auto"/>
                <w:highlight w:val="none"/>
              </w:rPr>
              <w:t>）中</w:t>
            </w:r>
            <w:r>
              <w:rPr>
                <w:color w:val="auto"/>
                <w:highlight w:val="none"/>
              </w:rPr>
              <w:t>III</w:t>
            </w:r>
            <w:r>
              <w:rPr>
                <w:rFonts w:hint="eastAsia"/>
                <w:color w:val="auto"/>
                <w:highlight w:val="none"/>
              </w:rPr>
              <w:t>类标准限值。</w:t>
            </w:r>
          </w:p>
          <w:p w14:paraId="24D2A598">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、环境噪声</w:t>
            </w:r>
          </w:p>
          <w:p w14:paraId="40277C2E">
            <w:pPr>
              <w:pStyle w:val="77"/>
              <w:spacing w:line="360" w:lineRule="auto"/>
              <w:ind w:firstLine="496"/>
              <w:rPr>
                <w:rFonts w:cs="宋体"/>
                <w:color w:val="auto"/>
                <w:spacing w:val="4"/>
                <w:sz w:val="24"/>
                <w:szCs w:val="21"/>
                <w:highlight w:val="none"/>
              </w:rPr>
            </w:pPr>
            <w:r>
              <w:rPr>
                <w:rFonts w:hint="eastAsia" w:cs="宋体"/>
                <w:color w:val="auto"/>
                <w:spacing w:val="4"/>
                <w:sz w:val="24"/>
                <w:szCs w:val="21"/>
                <w:highlight w:val="none"/>
              </w:rPr>
              <w:t>本项目位于江阴市月城镇工业园区锡澄路1110号，根据《江阴市声环境功能区划分调整方案》澄政办发【2020】71号，项目所在区域声环境功能区划分为《声环境质量标准》(GB3096-2008)3类区，本项目建设地环境噪声执行《声环境质量标准》(GB3096-2008)中3类标准。且项目周边50m范围内无声环境敏感目标。根据无锡市江阴生态环境局发布的《2024年度江阴市生态环境状况公报》达标情况，判断得项目建设地区域噪声可达《声环境质量标准》(GB3096-2008)表1中的3类区标准。</w:t>
            </w:r>
          </w:p>
          <w:p w14:paraId="45D3C0E2">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、生态环境</w:t>
            </w:r>
          </w:p>
          <w:p w14:paraId="679B8593">
            <w:pPr>
              <w:spacing w:line="360" w:lineRule="auto"/>
              <w:ind w:firstLine="480" w:firstLineChars="200"/>
              <w:rPr>
                <w:color w:val="auto"/>
                <w:highlight w:val="none"/>
              </w:rPr>
            </w:pPr>
            <w:r>
              <w:rPr>
                <w:rFonts w:hint="eastAsia"/>
                <w:color w:val="auto"/>
                <w:highlight w:val="none"/>
              </w:rPr>
              <w:t>本项目不属于产业园区外新增用地，用地范围内不含生态环境保护目标，无需进行生态现状调查。</w:t>
            </w:r>
          </w:p>
          <w:p w14:paraId="546052AF">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、电磁辐射</w:t>
            </w:r>
          </w:p>
          <w:p w14:paraId="0E50EE33">
            <w:pPr>
              <w:spacing w:line="360" w:lineRule="auto"/>
              <w:ind w:firstLine="480" w:firstLineChars="200"/>
              <w:rPr>
                <w:color w:val="auto"/>
                <w:highlight w:val="none"/>
              </w:rPr>
            </w:pPr>
            <w:r>
              <w:rPr>
                <w:rFonts w:hint="eastAsia"/>
                <w:color w:val="auto"/>
                <w:highlight w:val="none"/>
              </w:rPr>
              <w:t>本项目不属于电磁辐射类项目，无需开展电磁辐射现状监测与评价。</w:t>
            </w:r>
          </w:p>
          <w:p w14:paraId="51CEE036">
            <w:pPr>
              <w:spacing w:line="336" w:lineRule="auto"/>
              <w:ind w:firstLine="482" w:firstLineChars="200"/>
              <w:rPr>
                <w:b/>
                <w:bCs/>
                <w:color w:val="auto"/>
                <w:highlight w:val="none"/>
              </w:rPr>
            </w:pPr>
            <w:r>
              <w:rPr>
                <w:b/>
                <w:bCs/>
                <w:color w:val="auto"/>
                <w:highlight w:val="none"/>
              </w:rPr>
              <w:t>6</w:t>
            </w:r>
            <w:r>
              <w:rPr>
                <w:rFonts w:hint="eastAsia"/>
                <w:b/>
                <w:bCs/>
                <w:color w:val="auto"/>
                <w:highlight w:val="none"/>
              </w:rPr>
              <w:t>、地下水、土壤</w:t>
            </w:r>
          </w:p>
          <w:p w14:paraId="087C4E9D">
            <w:pPr>
              <w:spacing w:line="336" w:lineRule="auto"/>
              <w:ind w:firstLine="480" w:firstLineChars="200"/>
              <w:rPr>
                <w:color w:val="auto"/>
                <w:highlight w:val="none"/>
              </w:rPr>
            </w:pPr>
            <w:r>
              <w:rPr>
                <w:rFonts w:hint="eastAsia"/>
                <w:color w:val="auto"/>
                <w:highlight w:val="none"/>
              </w:rPr>
              <w:t>由于本项目生产区域地面已全部硬化，运营期对地下水、土壤的影响较小，因此不开展地下水、土壤现状调查。</w:t>
            </w:r>
          </w:p>
          <w:p w14:paraId="23E08C18">
            <w:pPr>
              <w:pStyle w:val="2"/>
              <w:rPr>
                <w:color w:val="auto"/>
                <w:highlight w:val="none"/>
              </w:rPr>
            </w:pPr>
          </w:p>
        </w:tc>
      </w:tr>
      <w:tr w14:paraId="37141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6" w:hRule="atLeast"/>
          <w:jc w:val="center"/>
        </w:trPr>
        <w:tc>
          <w:tcPr>
            <w:tcW w:w="800" w:type="dxa"/>
            <w:vAlign w:val="center"/>
          </w:tcPr>
          <w:p w14:paraId="4259532E">
            <w:pPr>
              <w:pStyle w:val="58"/>
              <w:jc w:val="left"/>
              <w:rPr>
                <w:color w:val="auto"/>
                <w:highlight w:val="none"/>
              </w:rPr>
            </w:pPr>
            <w:r>
              <w:rPr>
                <w:rFonts w:hint="eastAsia"/>
                <w:color w:val="auto"/>
                <w:highlight w:val="none"/>
              </w:rPr>
              <w:t>环境保护目标</w:t>
            </w:r>
          </w:p>
        </w:tc>
        <w:tc>
          <w:tcPr>
            <w:tcW w:w="8190" w:type="dxa"/>
            <w:vAlign w:val="center"/>
          </w:tcPr>
          <w:p w14:paraId="77D8EA58">
            <w:pPr>
              <w:pStyle w:val="56"/>
              <w:ind w:firstLine="496"/>
              <w:rPr>
                <w:color w:val="auto"/>
                <w:highlight w:val="none"/>
              </w:rPr>
            </w:pPr>
            <w:r>
              <w:rPr>
                <w:rFonts w:hint="eastAsia"/>
                <w:color w:val="auto"/>
                <w:highlight w:val="none"/>
              </w:rPr>
              <w:t>（</w:t>
            </w:r>
            <w:r>
              <w:rPr>
                <w:color w:val="auto"/>
                <w:highlight w:val="none"/>
              </w:rPr>
              <w:t>1</w:t>
            </w:r>
            <w:r>
              <w:rPr>
                <w:rFonts w:hint="eastAsia"/>
                <w:color w:val="auto"/>
                <w:highlight w:val="none"/>
              </w:rPr>
              <w:t>）大气环境：厂界外</w:t>
            </w:r>
            <w:r>
              <w:rPr>
                <w:color w:val="auto"/>
                <w:highlight w:val="none"/>
              </w:rPr>
              <w:t>500m</w:t>
            </w:r>
            <w:r>
              <w:rPr>
                <w:rFonts w:hint="eastAsia"/>
                <w:color w:val="auto"/>
                <w:highlight w:val="none"/>
              </w:rPr>
              <w:t>范围内敏感目标见表</w:t>
            </w:r>
            <w:r>
              <w:rPr>
                <w:color w:val="auto"/>
                <w:highlight w:val="none"/>
              </w:rPr>
              <w:t>3-3</w:t>
            </w:r>
            <w:r>
              <w:rPr>
                <w:rFonts w:hint="eastAsia"/>
                <w:color w:val="auto"/>
                <w:highlight w:val="none"/>
              </w:rPr>
              <w:t>。</w:t>
            </w:r>
          </w:p>
          <w:p w14:paraId="57A31B9E">
            <w:pPr>
              <w:pStyle w:val="56"/>
              <w:ind w:firstLine="0" w:firstLineChars="0"/>
              <w:jc w:val="center"/>
              <w:rPr>
                <w:b/>
                <w:bCs/>
                <w:color w:val="auto"/>
                <w:highlight w:val="none"/>
              </w:rPr>
            </w:pPr>
            <w:r>
              <w:rPr>
                <w:rFonts w:hint="eastAsia"/>
                <w:b/>
                <w:bCs/>
                <w:color w:val="auto"/>
                <w:highlight w:val="none"/>
              </w:rPr>
              <w:t>表</w:t>
            </w:r>
            <w:r>
              <w:rPr>
                <w:b/>
                <w:bCs/>
                <w:color w:val="auto"/>
                <w:highlight w:val="none"/>
              </w:rPr>
              <w:t>3-3</w:t>
            </w:r>
            <w:r>
              <w:rPr>
                <w:rFonts w:hint="eastAsia"/>
                <w:b/>
                <w:bCs/>
                <w:color w:val="auto"/>
                <w:highlight w:val="none"/>
              </w:rPr>
              <w:t xml:space="preserve"> 环境空气保护目标一览表</w:t>
            </w:r>
          </w:p>
          <w:tbl>
            <w:tblPr>
              <w:tblStyle w:val="27"/>
              <w:tblW w:w="5000" w:type="pct"/>
              <w:jc w:val="center"/>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314"/>
              <w:gridCol w:w="1139"/>
              <w:gridCol w:w="1020"/>
              <w:gridCol w:w="671"/>
              <w:gridCol w:w="1426"/>
              <w:gridCol w:w="971"/>
              <w:gridCol w:w="646"/>
              <w:gridCol w:w="651"/>
            </w:tblGrid>
            <w:tr w14:paraId="7AC654A7">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38" w:type="pct"/>
                  <w:vMerge w:val="restart"/>
                  <w:tcBorders>
                    <w:top w:val="single" w:color="auto" w:sz="12" w:space="0"/>
                    <w:left w:val="nil"/>
                    <w:bottom w:val="single" w:color="auto" w:sz="2" w:space="0"/>
                    <w:right w:val="single" w:color="auto" w:sz="2" w:space="0"/>
                  </w:tcBorders>
                  <w:vAlign w:val="center"/>
                </w:tcPr>
                <w:p w14:paraId="27675ABC">
                  <w:pPr>
                    <w:pStyle w:val="58"/>
                    <w:rPr>
                      <w:b/>
                      <w:bCs/>
                      <w:color w:val="auto"/>
                      <w:highlight w:val="none"/>
                    </w:rPr>
                  </w:pPr>
                  <w:r>
                    <w:rPr>
                      <w:rFonts w:hint="eastAsia"/>
                      <w:b/>
                      <w:bCs/>
                      <w:color w:val="auto"/>
                      <w:highlight w:val="none"/>
                    </w:rPr>
                    <w:t>名称</w:t>
                  </w:r>
                </w:p>
              </w:tc>
              <w:tc>
                <w:tcPr>
                  <w:tcW w:w="1376" w:type="pct"/>
                  <w:gridSpan w:val="2"/>
                  <w:tcBorders>
                    <w:top w:val="single" w:color="auto" w:sz="12" w:space="0"/>
                    <w:left w:val="single" w:color="auto" w:sz="2" w:space="0"/>
                    <w:bottom w:val="single" w:color="auto" w:sz="2" w:space="0"/>
                    <w:right w:val="single" w:color="auto" w:sz="2" w:space="0"/>
                  </w:tcBorders>
                  <w:vAlign w:val="center"/>
                </w:tcPr>
                <w:p w14:paraId="4310AC13">
                  <w:pPr>
                    <w:pStyle w:val="58"/>
                    <w:rPr>
                      <w:b/>
                      <w:bCs/>
                      <w:color w:val="auto"/>
                      <w:highlight w:val="none"/>
                    </w:rPr>
                  </w:pPr>
                  <w:r>
                    <w:rPr>
                      <w:rFonts w:hint="eastAsia"/>
                      <w:b/>
                      <w:bCs/>
                      <w:color w:val="auto"/>
                      <w:highlight w:val="none"/>
                    </w:rPr>
                    <w:t>坐标</w:t>
                  </w:r>
                  <w:r>
                    <w:rPr>
                      <w:b/>
                      <w:bCs/>
                      <w:color w:val="auto"/>
                      <w:highlight w:val="none"/>
                    </w:rPr>
                    <w:t>°</w:t>
                  </w:r>
                </w:p>
              </w:tc>
              <w:tc>
                <w:tcPr>
                  <w:tcW w:w="428" w:type="pct"/>
                  <w:vMerge w:val="restart"/>
                  <w:tcBorders>
                    <w:top w:val="single" w:color="auto" w:sz="12" w:space="0"/>
                    <w:left w:val="single" w:color="auto" w:sz="2" w:space="0"/>
                    <w:bottom w:val="single" w:color="auto" w:sz="12" w:space="0"/>
                    <w:right w:val="single" w:color="auto" w:sz="2" w:space="0"/>
                  </w:tcBorders>
                  <w:vAlign w:val="center"/>
                </w:tcPr>
                <w:p w14:paraId="71A61D35">
                  <w:pPr>
                    <w:pStyle w:val="58"/>
                    <w:rPr>
                      <w:b/>
                      <w:bCs/>
                      <w:color w:val="auto"/>
                      <w:highlight w:val="none"/>
                    </w:rPr>
                  </w:pPr>
                  <w:r>
                    <w:rPr>
                      <w:rFonts w:hint="eastAsia"/>
                      <w:b/>
                      <w:bCs/>
                      <w:color w:val="auto"/>
                      <w:highlight w:val="none"/>
                    </w:rPr>
                    <w:t>保护</w:t>
                  </w:r>
                </w:p>
                <w:p w14:paraId="0CBB5EF6">
                  <w:pPr>
                    <w:pStyle w:val="58"/>
                    <w:rPr>
                      <w:b/>
                      <w:bCs/>
                      <w:color w:val="auto"/>
                      <w:highlight w:val="none"/>
                    </w:rPr>
                  </w:pPr>
                  <w:r>
                    <w:rPr>
                      <w:rFonts w:hint="eastAsia"/>
                      <w:b/>
                      <w:bCs/>
                      <w:color w:val="auto"/>
                      <w:highlight w:val="none"/>
                    </w:rPr>
                    <w:t>对象</w:t>
                  </w:r>
                </w:p>
              </w:tc>
              <w:tc>
                <w:tcPr>
                  <w:tcW w:w="909" w:type="pct"/>
                  <w:vMerge w:val="restart"/>
                  <w:tcBorders>
                    <w:top w:val="single" w:color="auto" w:sz="12" w:space="0"/>
                    <w:left w:val="single" w:color="auto" w:sz="2" w:space="0"/>
                    <w:bottom w:val="single" w:color="auto" w:sz="12" w:space="0"/>
                    <w:right w:val="single" w:color="auto" w:sz="2" w:space="0"/>
                  </w:tcBorders>
                  <w:vAlign w:val="center"/>
                </w:tcPr>
                <w:p w14:paraId="0B36BBA4">
                  <w:pPr>
                    <w:pStyle w:val="58"/>
                    <w:rPr>
                      <w:b/>
                      <w:bCs/>
                      <w:color w:val="auto"/>
                      <w:highlight w:val="none"/>
                    </w:rPr>
                  </w:pPr>
                  <w:r>
                    <w:rPr>
                      <w:rFonts w:hint="eastAsia"/>
                      <w:b/>
                      <w:bCs/>
                      <w:color w:val="auto"/>
                      <w:highlight w:val="none"/>
                    </w:rPr>
                    <w:t>保护内容</w:t>
                  </w:r>
                </w:p>
              </w:tc>
              <w:tc>
                <w:tcPr>
                  <w:tcW w:w="619" w:type="pct"/>
                  <w:vMerge w:val="restart"/>
                  <w:tcBorders>
                    <w:top w:val="single" w:color="auto" w:sz="12" w:space="0"/>
                    <w:left w:val="single" w:color="auto" w:sz="2" w:space="0"/>
                    <w:bottom w:val="single" w:color="auto" w:sz="12" w:space="0"/>
                    <w:right w:val="single" w:color="auto" w:sz="2" w:space="0"/>
                  </w:tcBorders>
                  <w:vAlign w:val="center"/>
                </w:tcPr>
                <w:p w14:paraId="4DC945DD">
                  <w:pPr>
                    <w:pStyle w:val="58"/>
                    <w:rPr>
                      <w:b/>
                      <w:bCs/>
                      <w:color w:val="auto"/>
                      <w:highlight w:val="none"/>
                    </w:rPr>
                  </w:pPr>
                  <w:r>
                    <w:rPr>
                      <w:rFonts w:hint="eastAsia"/>
                      <w:b/>
                      <w:bCs/>
                      <w:color w:val="auto"/>
                      <w:highlight w:val="none"/>
                    </w:rPr>
                    <w:t>环境功能区</w:t>
                  </w:r>
                </w:p>
              </w:tc>
              <w:tc>
                <w:tcPr>
                  <w:tcW w:w="412" w:type="pct"/>
                  <w:vMerge w:val="restart"/>
                  <w:tcBorders>
                    <w:top w:val="single" w:color="auto" w:sz="12" w:space="0"/>
                    <w:left w:val="single" w:color="auto" w:sz="2" w:space="0"/>
                    <w:bottom w:val="single" w:color="auto" w:sz="12" w:space="0"/>
                    <w:right w:val="single" w:color="auto" w:sz="2" w:space="0"/>
                  </w:tcBorders>
                  <w:vAlign w:val="center"/>
                </w:tcPr>
                <w:p w14:paraId="3D8A0D78">
                  <w:pPr>
                    <w:pStyle w:val="58"/>
                    <w:rPr>
                      <w:b/>
                      <w:bCs/>
                      <w:color w:val="auto"/>
                      <w:highlight w:val="none"/>
                    </w:rPr>
                  </w:pPr>
                  <w:r>
                    <w:rPr>
                      <w:rFonts w:hint="eastAsia"/>
                      <w:b/>
                      <w:bCs/>
                      <w:color w:val="auto"/>
                      <w:highlight w:val="none"/>
                    </w:rPr>
                    <w:t>相对厂址方位</w:t>
                  </w:r>
                </w:p>
              </w:tc>
              <w:tc>
                <w:tcPr>
                  <w:tcW w:w="415" w:type="pct"/>
                  <w:vMerge w:val="restart"/>
                  <w:tcBorders>
                    <w:top w:val="single" w:color="auto" w:sz="12" w:space="0"/>
                    <w:left w:val="single" w:color="auto" w:sz="2" w:space="0"/>
                    <w:bottom w:val="single" w:color="auto" w:sz="12" w:space="0"/>
                    <w:right w:val="nil"/>
                  </w:tcBorders>
                  <w:vAlign w:val="center"/>
                </w:tcPr>
                <w:p w14:paraId="74339ACB">
                  <w:pPr>
                    <w:pStyle w:val="58"/>
                    <w:rPr>
                      <w:b/>
                      <w:bCs/>
                      <w:color w:val="auto"/>
                      <w:highlight w:val="none"/>
                    </w:rPr>
                  </w:pPr>
                  <w:r>
                    <w:rPr>
                      <w:rFonts w:hint="eastAsia"/>
                      <w:b/>
                      <w:bCs/>
                      <w:color w:val="auto"/>
                      <w:highlight w:val="none"/>
                    </w:rPr>
                    <w:t>相对厂界距离</w:t>
                  </w:r>
                  <w:r>
                    <w:rPr>
                      <w:b/>
                      <w:bCs/>
                      <w:color w:val="auto"/>
                      <w:highlight w:val="none"/>
                    </w:rPr>
                    <w:t>/m</w:t>
                  </w:r>
                </w:p>
              </w:tc>
            </w:tr>
            <w:tr w14:paraId="086EC3EB">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43" w:hRule="atLeast"/>
                <w:jc w:val="center"/>
              </w:trPr>
              <w:tc>
                <w:tcPr>
                  <w:tcW w:w="838" w:type="pct"/>
                  <w:vMerge w:val="continue"/>
                  <w:tcBorders>
                    <w:top w:val="single" w:color="auto" w:sz="12" w:space="0"/>
                    <w:left w:val="nil"/>
                    <w:bottom w:val="single" w:color="auto" w:sz="12" w:space="0"/>
                    <w:right w:val="single" w:color="auto" w:sz="2" w:space="0"/>
                  </w:tcBorders>
                  <w:vAlign w:val="center"/>
                </w:tcPr>
                <w:p w14:paraId="25AA9510">
                  <w:pPr>
                    <w:pStyle w:val="58"/>
                    <w:rPr>
                      <w:color w:val="auto"/>
                      <w:highlight w:val="none"/>
                    </w:rPr>
                  </w:pPr>
                </w:p>
              </w:tc>
              <w:tc>
                <w:tcPr>
                  <w:tcW w:w="726" w:type="pct"/>
                  <w:tcBorders>
                    <w:top w:val="single" w:color="auto" w:sz="2" w:space="0"/>
                    <w:left w:val="single" w:color="auto" w:sz="2" w:space="0"/>
                    <w:bottom w:val="single" w:color="auto" w:sz="12" w:space="0"/>
                    <w:right w:val="single" w:color="auto" w:sz="2" w:space="0"/>
                  </w:tcBorders>
                  <w:vAlign w:val="center"/>
                </w:tcPr>
                <w:p w14:paraId="1C254D2C">
                  <w:pPr>
                    <w:pStyle w:val="58"/>
                    <w:rPr>
                      <w:b/>
                      <w:bCs/>
                      <w:color w:val="auto"/>
                      <w:highlight w:val="none"/>
                    </w:rPr>
                  </w:pPr>
                  <w:r>
                    <w:rPr>
                      <w:rFonts w:hint="eastAsia"/>
                      <w:b/>
                      <w:bCs/>
                      <w:color w:val="auto"/>
                      <w:highlight w:val="none"/>
                    </w:rPr>
                    <w:t>经度</w:t>
                  </w:r>
                </w:p>
              </w:tc>
              <w:tc>
                <w:tcPr>
                  <w:tcW w:w="650" w:type="pct"/>
                  <w:tcBorders>
                    <w:top w:val="single" w:color="auto" w:sz="2" w:space="0"/>
                    <w:left w:val="single" w:color="auto" w:sz="2" w:space="0"/>
                    <w:bottom w:val="single" w:color="auto" w:sz="12" w:space="0"/>
                    <w:right w:val="single" w:color="auto" w:sz="2" w:space="0"/>
                  </w:tcBorders>
                  <w:vAlign w:val="center"/>
                </w:tcPr>
                <w:p w14:paraId="5E0E59F7">
                  <w:pPr>
                    <w:pStyle w:val="58"/>
                    <w:rPr>
                      <w:b/>
                      <w:bCs/>
                      <w:color w:val="auto"/>
                      <w:highlight w:val="none"/>
                    </w:rPr>
                  </w:pPr>
                  <w:r>
                    <w:rPr>
                      <w:rFonts w:hint="eastAsia"/>
                      <w:b/>
                      <w:bCs/>
                      <w:color w:val="auto"/>
                      <w:highlight w:val="none"/>
                    </w:rPr>
                    <w:t>纬度</w:t>
                  </w:r>
                </w:p>
              </w:tc>
              <w:tc>
                <w:tcPr>
                  <w:tcW w:w="428" w:type="pct"/>
                  <w:vMerge w:val="continue"/>
                  <w:tcBorders>
                    <w:top w:val="single" w:color="auto" w:sz="2" w:space="0"/>
                    <w:left w:val="single" w:color="auto" w:sz="2" w:space="0"/>
                    <w:bottom w:val="single" w:color="auto" w:sz="12" w:space="0"/>
                    <w:right w:val="single" w:color="auto" w:sz="2" w:space="0"/>
                  </w:tcBorders>
                  <w:vAlign w:val="center"/>
                </w:tcPr>
                <w:p w14:paraId="679E2F6C">
                  <w:pPr>
                    <w:pStyle w:val="58"/>
                    <w:rPr>
                      <w:color w:val="auto"/>
                      <w:highlight w:val="none"/>
                    </w:rPr>
                  </w:pPr>
                </w:p>
              </w:tc>
              <w:tc>
                <w:tcPr>
                  <w:tcW w:w="909" w:type="pct"/>
                  <w:vMerge w:val="continue"/>
                  <w:tcBorders>
                    <w:top w:val="single" w:color="auto" w:sz="2" w:space="0"/>
                    <w:left w:val="single" w:color="auto" w:sz="2" w:space="0"/>
                    <w:bottom w:val="single" w:color="auto" w:sz="12" w:space="0"/>
                    <w:right w:val="single" w:color="auto" w:sz="2" w:space="0"/>
                  </w:tcBorders>
                  <w:vAlign w:val="center"/>
                </w:tcPr>
                <w:p w14:paraId="3A8E2225">
                  <w:pPr>
                    <w:pStyle w:val="58"/>
                    <w:rPr>
                      <w:color w:val="auto"/>
                      <w:highlight w:val="none"/>
                    </w:rPr>
                  </w:pPr>
                </w:p>
              </w:tc>
              <w:tc>
                <w:tcPr>
                  <w:tcW w:w="619" w:type="pct"/>
                  <w:vMerge w:val="continue"/>
                  <w:tcBorders>
                    <w:top w:val="single" w:color="auto" w:sz="2" w:space="0"/>
                    <w:left w:val="single" w:color="auto" w:sz="2" w:space="0"/>
                    <w:bottom w:val="single" w:color="auto" w:sz="12" w:space="0"/>
                    <w:right w:val="single" w:color="auto" w:sz="2" w:space="0"/>
                  </w:tcBorders>
                  <w:vAlign w:val="center"/>
                </w:tcPr>
                <w:p w14:paraId="79C0AC18">
                  <w:pPr>
                    <w:pStyle w:val="58"/>
                    <w:rPr>
                      <w:color w:val="auto"/>
                      <w:highlight w:val="none"/>
                    </w:rPr>
                  </w:pPr>
                </w:p>
              </w:tc>
              <w:tc>
                <w:tcPr>
                  <w:tcW w:w="412" w:type="pct"/>
                  <w:vMerge w:val="continue"/>
                  <w:tcBorders>
                    <w:top w:val="single" w:color="auto" w:sz="2" w:space="0"/>
                    <w:left w:val="single" w:color="auto" w:sz="2" w:space="0"/>
                    <w:bottom w:val="single" w:color="auto" w:sz="12" w:space="0"/>
                    <w:right w:val="single" w:color="auto" w:sz="2" w:space="0"/>
                  </w:tcBorders>
                  <w:vAlign w:val="center"/>
                </w:tcPr>
                <w:p w14:paraId="6F971FEF">
                  <w:pPr>
                    <w:pStyle w:val="58"/>
                    <w:rPr>
                      <w:color w:val="auto"/>
                      <w:highlight w:val="none"/>
                    </w:rPr>
                  </w:pPr>
                </w:p>
              </w:tc>
              <w:tc>
                <w:tcPr>
                  <w:tcW w:w="415" w:type="pct"/>
                  <w:vMerge w:val="continue"/>
                  <w:tcBorders>
                    <w:top w:val="single" w:color="auto" w:sz="2" w:space="0"/>
                    <w:left w:val="single" w:color="auto" w:sz="2" w:space="0"/>
                    <w:bottom w:val="single" w:color="auto" w:sz="12" w:space="0"/>
                    <w:right w:val="nil"/>
                  </w:tcBorders>
                  <w:vAlign w:val="center"/>
                </w:tcPr>
                <w:p w14:paraId="13B1008C">
                  <w:pPr>
                    <w:pStyle w:val="58"/>
                    <w:rPr>
                      <w:color w:val="auto"/>
                      <w:highlight w:val="none"/>
                    </w:rPr>
                  </w:pPr>
                </w:p>
              </w:tc>
            </w:tr>
            <w:tr w14:paraId="3F248D96">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4" w:hRule="atLeast"/>
                <w:jc w:val="center"/>
              </w:trPr>
              <w:tc>
                <w:tcPr>
                  <w:tcW w:w="838" w:type="pct"/>
                  <w:tcBorders>
                    <w:top w:val="single" w:color="auto" w:sz="12" w:space="0"/>
                    <w:left w:val="nil"/>
                    <w:bottom w:val="single" w:color="auto" w:sz="4" w:space="0"/>
                    <w:right w:val="single" w:color="auto" w:sz="2" w:space="0"/>
                  </w:tcBorders>
                  <w:vAlign w:val="center"/>
                </w:tcPr>
                <w:p w14:paraId="1C5EC5AC">
                  <w:pPr>
                    <w:pStyle w:val="58"/>
                    <w:rPr>
                      <w:color w:val="auto"/>
                      <w:highlight w:val="none"/>
                    </w:rPr>
                  </w:pPr>
                  <w:r>
                    <w:rPr>
                      <w:rFonts w:hint="eastAsia"/>
                      <w:color w:val="auto"/>
                      <w:highlight w:val="none"/>
                    </w:rPr>
                    <w:t>戴庄村村委</w:t>
                  </w:r>
                </w:p>
              </w:tc>
              <w:tc>
                <w:tcPr>
                  <w:tcW w:w="726" w:type="pct"/>
                  <w:tcBorders>
                    <w:top w:val="single" w:color="auto" w:sz="12" w:space="0"/>
                    <w:left w:val="single" w:color="auto" w:sz="2" w:space="0"/>
                    <w:bottom w:val="single" w:color="auto" w:sz="4" w:space="0"/>
                    <w:right w:val="single" w:color="auto" w:sz="2" w:space="0"/>
                  </w:tcBorders>
                  <w:vAlign w:val="center"/>
                </w:tcPr>
                <w:p w14:paraId="7AD20CE8">
                  <w:pPr>
                    <w:pStyle w:val="58"/>
                    <w:rPr>
                      <w:color w:val="auto"/>
                      <w:highlight w:val="none"/>
                    </w:rPr>
                  </w:pPr>
                  <w:r>
                    <w:rPr>
                      <w:rFonts w:hint="eastAsia"/>
                      <w:color w:val="auto"/>
                      <w:highlight w:val="none"/>
                    </w:rPr>
                    <w:t>120.24391</w:t>
                  </w:r>
                </w:p>
              </w:tc>
              <w:tc>
                <w:tcPr>
                  <w:tcW w:w="650" w:type="pct"/>
                  <w:tcBorders>
                    <w:top w:val="single" w:color="auto" w:sz="12" w:space="0"/>
                    <w:left w:val="single" w:color="auto" w:sz="2" w:space="0"/>
                    <w:bottom w:val="single" w:color="auto" w:sz="4" w:space="0"/>
                    <w:right w:val="single" w:color="auto" w:sz="2" w:space="0"/>
                  </w:tcBorders>
                  <w:vAlign w:val="center"/>
                </w:tcPr>
                <w:p w14:paraId="67460DAD">
                  <w:pPr>
                    <w:pStyle w:val="58"/>
                    <w:rPr>
                      <w:color w:val="auto"/>
                      <w:highlight w:val="none"/>
                    </w:rPr>
                  </w:pPr>
                  <w:r>
                    <w:rPr>
                      <w:rFonts w:hint="eastAsia"/>
                      <w:color w:val="auto"/>
                      <w:highlight w:val="none"/>
                    </w:rPr>
                    <w:t>31.80772</w:t>
                  </w:r>
                </w:p>
              </w:tc>
              <w:tc>
                <w:tcPr>
                  <w:tcW w:w="428" w:type="pct"/>
                  <w:tcBorders>
                    <w:top w:val="single" w:color="auto" w:sz="12" w:space="0"/>
                    <w:left w:val="single" w:color="auto" w:sz="2" w:space="0"/>
                    <w:bottom w:val="single" w:color="auto" w:sz="4" w:space="0"/>
                    <w:right w:val="single" w:color="auto" w:sz="2" w:space="0"/>
                  </w:tcBorders>
                  <w:vAlign w:val="center"/>
                </w:tcPr>
                <w:p w14:paraId="0587872F">
                  <w:pPr>
                    <w:pStyle w:val="58"/>
                    <w:rPr>
                      <w:color w:val="auto"/>
                      <w:highlight w:val="none"/>
                    </w:rPr>
                  </w:pPr>
                  <w:r>
                    <w:rPr>
                      <w:rFonts w:hint="eastAsia"/>
                      <w:color w:val="auto"/>
                      <w:highlight w:val="none"/>
                    </w:rPr>
                    <w:t>居民</w:t>
                  </w:r>
                </w:p>
              </w:tc>
              <w:tc>
                <w:tcPr>
                  <w:tcW w:w="909" w:type="pct"/>
                  <w:tcBorders>
                    <w:top w:val="single" w:color="auto" w:sz="12" w:space="0"/>
                    <w:left w:val="single" w:color="auto" w:sz="2" w:space="0"/>
                    <w:bottom w:val="single" w:color="auto" w:sz="4" w:space="0"/>
                    <w:right w:val="single" w:color="auto" w:sz="2" w:space="0"/>
                  </w:tcBorders>
                  <w:vAlign w:val="center"/>
                </w:tcPr>
                <w:p w14:paraId="3B59C7AD">
                  <w:pPr>
                    <w:pStyle w:val="58"/>
                    <w:rPr>
                      <w:color w:val="auto"/>
                      <w:highlight w:val="none"/>
                    </w:rPr>
                  </w:pPr>
                  <w:r>
                    <w:rPr>
                      <w:rFonts w:hint="eastAsia"/>
                      <w:color w:val="auto"/>
                      <w:highlight w:val="none"/>
                    </w:rPr>
                    <w:t>20人</w:t>
                  </w:r>
                </w:p>
              </w:tc>
              <w:tc>
                <w:tcPr>
                  <w:tcW w:w="619" w:type="pct"/>
                  <w:tcBorders>
                    <w:top w:val="single" w:color="auto" w:sz="12" w:space="0"/>
                    <w:left w:val="single" w:color="auto" w:sz="2" w:space="0"/>
                    <w:bottom w:val="single" w:color="auto" w:sz="4" w:space="0"/>
                    <w:right w:val="single" w:color="auto" w:sz="2" w:space="0"/>
                  </w:tcBorders>
                  <w:vAlign w:val="center"/>
                </w:tcPr>
                <w:p w14:paraId="7E4E1B20">
                  <w:pPr>
                    <w:pStyle w:val="58"/>
                    <w:rPr>
                      <w:color w:val="auto"/>
                      <w:highlight w:val="none"/>
                    </w:rPr>
                  </w:pPr>
                  <w:r>
                    <w:rPr>
                      <w:rFonts w:hint="eastAsia"/>
                      <w:color w:val="auto"/>
                      <w:highlight w:val="none"/>
                    </w:rPr>
                    <w:t>三类区</w:t>
                  </w:r>
                </w:p>
              </w:tc>
              <w:tc>
                <w:tcPr>
                  <w:tcW w:w="412" w:type="pct"/>
                  <w:tcBorders>
                    <w:top w:val="single" w:color="auto" w:sz="12" w:space="0"/>
                    <w:left w:val="single" w:color="auto" w:sz="2" w:space="0"/>
                    <w:bottom w:val="single" w:color="auto" w:sz="4" w:space="0"/>
                    <w:right w:val="single" w:color="auto" w:sz="2" w:space="0"/>
                  </w:tcBorders>
                  <w:vAlign w:val="center"/>
                </w:tcPr>
                <w:p w14:paraId="15738E51">
                  <w:pPr>
                    <w:pStyle w:val="58"/>
                    <w:rPr>
                      <w:color w:val="auto"/>
                      <w:highlight w:val="none"/>
                    </w:rPr>
                  </w:pPr>
                  <w:r>
                    <w:rPr>
                      <w:rFonts w:hint="eastAsia"/>
                      <w:color w:val="auto"/>
                      <w:highlight w:val="none"/>
                    </w:rPr>
                    <w:t>N</w:t>
                  </w:r>
                </w:p>
              </w:tc>
              <w:tc>
                <w:tcPr>
                  <w:tcW w:w="415" w:type="pct"/>
                  <w:tcBorders>
                    <w:top w:val="single" w:color="auto" w:sz="12" w:space="0"/>
                    <w:left w:val="single" w:color="auto" w:sz="2" w:space="0"/>
                    <w:bottom w:val="single" w:color="auto" w:sz="4" w:space="0"/>
                    <w:right w:val="nil"/>
                  </w:tcBorders>
                  <w:vAlign w:val="center"/>
                </w:tcPr>
                <w:p w14:paraId="0D277E4A">
                  <w:pPr>
                    <w:pStyle w:val="58"/>
                    <w:rPr>
                      <w:color w:val="auto"/>
                      <w:highlight w:val="none"/>
                    </w:rPr>
                  </w:pPr>
                  <w:r>
                    <w:rPr>
                      <w:rFonts w:hint="eastAsia"/>
                      <w:color w:val="auto"/>
                      <w:highlight w:val="none"/>
                    </w:rPr>
                    <w:t>52</w:t>
                  </w:r>
                </w:p>
              </w:tc>
            </w:tr>
            <w:tr w14:paraId="4DE8DE27">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4" w:hRule="atLeast"/>
                <w:jc w:val="center"/>
              </w:trPr>
              <w:tc>
                <w:tcPr>
                  <w:tcW w:w="838" w:type="pct"/>
                  <w:tcBorders>
                    <w:top w:val="single" w:color="auto" w:sz="4" w:space="0"/>
                    <w:left w:val="nil"/>
                    <w:bottom w:val="single" w:color="auto" w:sz="4" w:space="0"/>
                    <w:right w:val="single" w:color="auto" w:sz="2" w:space="0"/>
                  </w:tcBorders>
                  <w:vAlign w:val="center"/>
                </w:tcPr>
                <w:p w14:paraId="78588FE0">
                  <w:pPr>
                    <w:pStyle w:val="58"/>
                    <w:rPr>
                      <w:color w:val="auto"/>
                      <w:highlight w:val="none"/>
                    </w:rPr>
                  </w:pPr>
                  <w:r>
                    <w:rPr>
                      <w:rFonts w:hint="eastAsia"/>
                      <w:color w:val="auto"/>
                      <w:highlight w:val="none"/>
                    </w:rPr>
                    <w:t>新南洋新村</w:t>
                  </w:r>
                </w:p>
              </w:tc>
              <w:tc>
                <w:tcPr>
                  <w:tcW w:w="726" w:type="pct"/>
                  <w:tcBorders>
                    <w:top w:val="single" w:color="auto" w:sz="4" w:space="0"/>
                    <w:left w:val="single" w:color="auto" w:sz="2" w:space="0"/>
                    <w:bottom w:val="single" w:color="auto" w:sz="4" w:space="0"/>
                    <w:right w:val="single" w:color="auto" w:sz="2" w:space="0"/>
                  </w:tcBorders>
                  <w:vAlign w:val="center"/>
                </w:tcPr>
                <w:p w14:paraId="78948327">
                  <w:pPr>
                    <w:pStyle w:val="58"/>
                    <w:rPr>
                      <w:color w:val="auto"/>
                      <w:highlight w:val="none"/>
                    </w:rPr>
                  </w:pPr>
                  <w:r>
                    <w:rPr>
                      <w:rFonts w:hint="eastAsia"/>
                      <w:color w:val="auto"/>
                      <w:highlight w:val="none"/>
                    </w:rPr>
                    <w:t>120.34397</w:t>
                  </w:r>
                </w:p>
              </w:tc>
              <w:tc>
                <w:tcPr>
                  <w:tcW w:w="650" w:type="pct"/>
                  <w:tcBorders>
                    <w:top w:val="single" w:color="auto" w:sz="4" w:space="0"/>
                    <w:left w:val="single" w:color="auto" w:sz="2" w:space="0"/>
                    <w:bottom w:val="single" w:color="auto" w:sz="4" w:space="0"/>
                    <w:right w:val="single" w:color="auto" w:sz="2" w:space="0"/>
                  </w:tcBorders>
                  <w:vAlign w:val="center"/>
                </w:tcPr>
                <w:p w14:paraId="747855E4">
                  <w:pPr>
                    <w:pStyle w:val="58"/>
                    <w:rPr>
                      <w:color w:val="auto"/>
                      <w:highlight w:val="none"/>
                    </w:rPr>
                  </w:pPr>
                  <w:r>
                    <w:rPr>
                      <w:rFonts w:hint="eastAsia"/>
                      <w:color w:val="auto"/>
                      <w:highlight w:val="none"/>
                    </w:rPr>
                    <w:t>31.80901</w:t>
                  </w:r>
                </w:p>
              </w:tc>
              <w:tc>
                <w:tcPr>
                  <w:tcW w:w="428" w:type="pct"/>
                  <w:tcBorders>
                    <w:top w:val="single" w:color="auto" w:sz="4" w:space="0"/>
                    <w:left w:val="single" w:color="auto" w:sz="2" w:space="0"/>
                    <w:bottom w:val="single" w:color="auto" w:sz="4" w:space="0"/>
                    <w:right w:val="single" w:color="auto" w:sz="2" w:space="0"/>
                  </w:tcBorders>
                  <w:vAlign w:val="center"/>
                </w:tcPr>
                <w:p w14:paraId="47840D3B">
                  <w:pPr>
                    <w:pStyle w:val="58"/>
                    <w:rPr>
                      <w:color w:val="auto"/>
                      <w:highlight w:val="none"/>
                    </w:rPr>
                  </w:pPr>
                  <w:r>
                    <w:rPr>
                      <w:rFonts w:hint="eastAsia"/>
                      <w:color w:val="auto"/>
                      <w:highlight w:val="none"/>
                    </w:rPr>
                    <w:t>居民</w:t>
                  </w:r>
                </w:p>
              </w:tc>
              <w:tc>
                <w:tcPr>
                  <w:tcW w:w="909" w:type="pct"/>
                  <w:tcBorders>
                    <w:top w:val="single" w:color="auto" w:sz="4" w:space="0"/>
                    <w:left w:val="single" w:color="auto" w:sz="2" w:space="0"/>
                    <w:bottom w:val="single" w:color="auto" w:sz="4" w:space="0"/>
                    <w:right w:val="single" w:color="auto" w:sz="2" w:space="0"/>
                  </w:tcBorders>
                  <w:vAlign w:val="center"/>
                </w:tcPr>
                <w:p w14:paraId="2FFC5E96">
                  <w:pPr>
                    <w:pStyle w:val="58"/>
                    <w:rPr>
                      <w:color w:val="auto"/>
                      <w:highlight w:val="none"/>
                    </w:rPr>
                  </w:pPr>
                  <w:r>
                    <w:rPr>
                      <w:color w:val="auto"/>
                      <w:highlight w:val="none"/>
                    </w:rPr>
                    <w:t>80</w:t>
                  </w:r>
                  <w:r>
                    <w:rPr>
                      <w:rFonts w:hint="eastAsia"/>
                      <w:color w:val="auto"/>
                      <w:highlight w:val="none"/>
                    </w:rPr>
                    <w:t>户200人</w:t>
                  </w:r>
                </w:p>
              </w:tc>
              <w:tc>
                <w:tcPr>
                  <w:tcW w:w="619" w:type="pct"/>
                  <w:tcBorders>
                    <w:top w:val="single" w:color="auto" w:sz="4" w:space="0"/>
                    <w:left w:val="single" w:color="auto" w:sz="2" w:space="0"/>
                    <w:bottom w:val="single" w:color="auto" w:sz="4" w:space="0"/>
                    <w:right w:val="single" w:color="auto" w:sz="2" w:space="0"/>
                  </w:tcBorders>
                </w:tcPr>
                <w:p w14:paraId="7FC56546">
                  <w:pPr>
                    <w:pStyle w:val="58"/>
                    <w:rPr>
                      <w:color w:val="auto"/>
                      <w:highlight w:val="none"/>
                    </w:rPr>
                  </w:pPr>
                  <w:r>
                    <w:rPr>
                      <w:rFonts w:hint="eastAsia"/>
                      <w:color w:val="auto"/>
                      <w:highlight w:val="none"/>
                    </w:rPr>
                    <w:t>三类区</w:t>
                  </w:r>
                </w:p>
              </w:tc>
              <w:tc>
                <w:tcPr>
                  <w:tcW w:w="412" w:type="pct"/>
                  <w:tcBorders>
                    <w:top w:val="single" w:color="auto" w:sz="4" w:space="0"/>
                    <w:left w:val="single" w:color="auto" w:sz="2" w:space="0"/>
                    <w:bottom w:val="single" w:color="auto" w:sz="4" w:space="0"/>
                    <w:right w:val="single" w:color="auto" w:sz="2" w:space="0"/>
                  </w:tcBorders>
                  <w:vAlign w:val="center"/>
                </w:tcPr>
                <w:p w14:paraId="52CB24E4">
                  <w:pPr>
                    <w:pStyle w:val="58"/>
                    <w:rPr>
                      <w:color w:val="auto"/>
                      <w:highlight w:val="none"/>
                    </w:rPr>
                  </w:pPr>
                  <w:r>
                    <w:rPr>
                      <w:rFonts w:hint="eastAsia"/>
                      <w:color w:val="auto"/>
                      <w:highlight w:val="none"/>
                    </w:rPr>
                    <w:t>N</w:t>
                  </w:r>
                </w:p>
              </w:tc>
              <w:tc>
                <w:tcPr>
                  <w:tcW w:w="415" w:type="pct"/>
                  <w:tcBorders>
                    <w:top w:val="single" w:color="auto" w:sz="4" w:space="0"/>
                    <w:left w:val="single" w:color="auto" w:sz="2" w:space="0"/>
                    <w:bottom w:val="single" w:color="auto" w:sz="4" w:space="0"/>
                    <w:right w:val="nil"/>
                  </w:tcBorders>
                  <w:vAlign w:val="center"/>
                </w:tcPr>
                <w:p w14:paraId="56531F69">
                  <w:pPr>
                    <w:pStyle w:val="58"/>
                    <w:rPr>
                      <w:color w:val="auto"/>
                      <w:highlight w:val="none"/>
                    </w:rPr>
                  </w:pPr>
                  <w:r>
                    <w:rPr>
                      <w:rFonts w:hint="eastAsia"/>
                      <w:color w:val="auto"/>
                      <w:highlight w:val="none"/>
                    </w:rPr>
                    <w:t>82</w:t>
                  </w:r>
                </w:p>
              </w:tc>
            </w:tr>
            <w:tr w14:paraId="14E06826">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838" w:type="pct"/>
                  <w:tcBorders>
                    <w:top w:val="single" w:color="auto" w:sz="4" w:space="0"/>
                    <w:left w:val="nil"/>
                    <w:bottom w:val="single" w:color="auto" w:sz="4" w:space="0"/>
                    <w:right w:val="single" w:color="auto" w:sz="2" w:space="0"/>
                  </w:tcBorders>
                  <w:vAlign w:val="center"/>
                </w:tcPr>
                <w:p w14:paraId="799F644B">
                  <w:pPr>
                    <w:pStyle w:val="58"/>
                    <w:rPr>
                      <w:color w:val="auto"/>
                      <w:highlight w:val="none"/>
                    </w:rPr>
                  </w:pPr>
                  <w:r>
                    <w:rPr>
                      <w:rFonts w:hint="eastAsia"/>
                      <w:color w:val="auto"/>
                      <w:highlight w:val="none"/>
                    </w:rPr>
                    <w:t>戴庄新苑</w:t>
                  </w:r>
                </w:p>
              </w:tc>
              <w:tc>
                <w:tcPr>
                  <w:tcW w:w="726" w:type="pct"/>
                  <w:tcBorders>
                    <w:top w:val="single" w:color="auto" w:sz="4" w:space="0"/>
                    <w:left w:val="single" w:color="auto" w:sz="2" w:space="0"/>
                    <w:bottom w:val="single" w:color="auto" w:sz="4" w:space="0"/>
                    <w:right w:val="single" w:color="auto" w:sz="2" w:space="0"/>
                  </w:tcBorders>
                  <w:vAlign w:val="center"/>
                </w:tcPr>
                <w:p w14:paraId="72D78130">
                  <w:pPr>
                    <w:pStyle w:val="58"/>
                    <w:rPr>
                      <w:color w:val="auto"/>
                      <w:highlight w:val="none"/>
                    </w:rPr>
                  </w:pPr>
                  <w:r>
                    <w:rPr>
                      <w:rFonts w:hint="eastAsia"/>
                      <w:color w:val="auto"/>
                      <w:highlight w:val="none"/>
                    </w:rPr>
                    <w:t>120.24391</w:t>
                  </w:r>
                </w:p>
              </w:tc>
              <w:tc>
                <w:tcPr>
                  <w:tcW w:w="650" w:type="pct"/>
                  <w:tcBorders>
                    <w:top w:val="single" w:color="auto" w:sz="4" w:space="0"/>
                    <w:left w:val="single" w:color="auto" w:sz="2" w:space="0"/>
                    <w:bottom w:val="single" w:color="auto" w:sz="4" w:space="0"/>
                    <w:right w:val="single" w:color="auto" w:sz="2" w:space="0"/>
                  </w:tcBorders>
                  <w:vAlign w:val="center"/>
                </w:tcPr>
                <w:p w14:paraId="5083F6A9">
                  <w:pPr>
                    <w:pStyle w:val="58"/>
                    <w:rPr>
                      <w:color w:val="auto"/>
                      <w:highlight w:val="none"/>
                    </w:rPr>
                  </w:pPr>
                  <w:r>
                    <w:rPr>
                      <w:rFonts w:hint="eastAsia"/>
                      <w:color w:val="auto"/>
                      <w:highlight w:val="none"/>
                    </w:rPr>
                    <w:t>31.81136</w:t>
                  </w:r>
                </w:p>
              </w:tc>
              <w:tc>
                <w:tcPr>
                  <w:tcW w:w="428" w:type="pct"/>
                  <w:tcBorders>
                    <w:top w:val="single" w:color="auto" w:sz="4" w:space="0"/>
                    <w:left w:val="single" w:color="auto" w:sz="2" w:space="0"/>
                    <w:bottom w:val="single" w:color="auto" w:sz="4" w:space="0"/>
                    <w:right w:val="single" w:color="auto" w:sz="2" w:space="0"/>
                  </w:tcBorders>
                  <w:vAlign w:val="center"/>
                </w:tcPr>
                <w:p w14:paraId="719AA4B5">
                  <w:pPr>
                    <w:pStyle w:val="58"/>
                    <w:rPr>
                      <w:color w:val="auto"/>
                      <w:highlight w:val="none"/>
                    </w:rPr>
                  </w:pPr>
                  <w:r>
                    <w:rPr>
                      <w:rFonts w:hint="eastAsia"/>
                      <w:color w:val="auto"/>
                      <w:highlight w:val="none"/>
                    </w:rPr>
                    <w:t>居民</w:t>
                  </w:r>
                </w:p>
              </w:tc>
              <w:tc>
                <w:tcPr>
                  <w:tcW w:w="909" w:type="pct"/>
                  <w:tcBorders>
                    <w:top w:val="single" w:color="auto" w:sz="4" w:space="0"/>
                    <w:left w:val="single" w:color="auto" w:sz="2" w:space="0"/>
                    <w:bottom w:val="single" w:color="auto" w:sz="4" w:space="0"/>
                    <w:right w:val="single" w:color="auto" w:sz="2" w:space="0"/>
                  </w:tcBorders>
                  <w:vAlign w:val="center"/>
                </w:tcPr>
                <w:p w14:paraId="54ADA27F">
                  <w:pPr>
                    <w:pStyle w:val="58"/>
                    <w:rPr>
                      <w:color w:val="auto"/>
                      <w:highlight w:val="none"/>
                    </w:rPr>
                  </w:pPr>
                  <w:r>
                    <w:rPr>
                      <w:rFonts w:hint="eastAsia"/>
                      <w:color w:val="auto"/>
                      <w:highlight w:val="none"/>
                    </w:rPr>
                    <w:t>150户300人</w:t>
                  </w:r>
                </w:p>
              </w:tc>
              <w:tc>
                <w:tcPr>
                  <w:tcW w:w="619" w:type="pct"/>
                  <w:tcBorders>
                    <w:top w:val="single" w:color="auto" w:sz="4" w:space="0"/>
                    <w:left w:val="single" w:color="auto" w:sz="2" w:space="0"/>
                    <w:bottom w:val="single" w:color="auto" w:sz="4" w:space="0"/>
                    <w:right w:val="single" w:color="auto" w:sz="2" w:space="0"/>
                  </w:tcBorders>
                  <w:vAlign w:val="center"/>
                </w:tcPr>
                <w:p w14:paraId="243FCDF6">
                  <w:pPr>
                    <w:pStyle w:val="58"/>
                    <w:rPr>
                      <w:color w:val="auto"/>
                      <w:highlight w:val="none"/>
                    </w:rPr>
                  </w:pPr>
                  <w:r>
                    <w:rPr>
                      <w:rFonts w:hint="eastAsia"/>
                      <w:color w:val="auto"/>
                      <w:highlight w:val="none"/>
                    </w:rPr>
                    <w:t>三类区</w:t>
                  </w:r>
                </w:p>
              </w:tc>
              <w:tc>
                <w:tcPr>
                  <w:tcW w:w="412" w:type="pct"/>
                  <w:tcBorders>
                    <w:top w:val="single" w:color="auto" w:sz="4" w:space="0"/>
                    <w:left w:val="single" w:color="auto" w:sz="2" w:space="0"/>
                    <w:bottom w:val="single" w:color="auto" w:sz="4" w:space="0"/>
                    <w:right w:val="single" w:color="auto" w:sz="2" w:space="0"/>
                  </w:tcBorders>
                  <w:vAlign w:val="center"/>
                </w:tcPr>
                <w:p w14:paraId="3ECD1874">
                  <w:pPr>
                    <w:pStyle w:val="58"/>
                    <w:rPr>
                      <w:color w:val="auto"/>
                      <w:highlight w:val="none"/>
                    </w:rPr>
                  </w:pPr>
                  <w:r>
                    <w:rPr>
                      <w:rFonts w:hint="eastAsia"/>
                      <w:color w:val="auto"/>
                      <w:highlight w:val="none"/>
                    </w:rPr>
                    <w:t>N</w:t>
                  </w:r>
                </w:p>
              </w:tc>
              <w:tc>
                <w:tcPr>
                  <w:tcW w:w="415" w:type="pct"/>
                  <w:tcBorders>
                    <w:top w:val="single" w:color="auto" w:sz="4" w:space="0"/>
                    <w:left w:val="single" w:color="auto" w:sz="2" w:space="0"/>
                    <w:bottom w:val="single" w:color="auto" w:sz="4" w:space="0"/>
                    <w:right w:val="nil"/>
                  </w:tcBorders>
                  <w:vAlign w:val="center"/>
                </w:tcPr>
                <w:p w14:paraId="5D2FFBEC">
                  <w:pPr>
                    <w:pStyle w:val="58"/>
                    <w:rPr>
                      <w:color w:val="auto"/>
                      <w:highlight w:val="none"/>
                    </w:rPr>
                  </w:pPr>
                  <w:r>
                    <w:rPr>
                      <w:rFonts w:hint="eastAsia"/>
                      <w:color w:val="auto"/>
                      <w:highlight w:val="none"/>
                    </w:rPr>
                    <w:t>267</w:t>
                  </w:r>
                </w:p>
              </w:tc>
            </w:tr>
            <w:tr w14:paraId="17E6E948">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4" w:hRule="atLeast"/>
                <w:jc w:val="center"/>
              </w:trPr>
              <w:tc>
                <w:tcPr>
                  <w:tcW w:w="838" w:type="pct"/>
                  <w:tcBorders>
                    <w:top w:val="single" w:color="auto" w:sz="4" w:space="0"/>
                    <w:left w:val="nil"/>
                    <w:bottom w:val="single" w:color="auto" w:sz="4" w:space="0"/>
                    <w:right w:val="single" w:color="auto" w:sz="2" w:space="0"/>
                  </w:tcBorders>
                  <w:vAlign w:val="center"/>
                </w:tcPr>
                <w:p w14:paraId="0008445D">
                  <w:pPr>
                    <w:pStyle w:val="58"/>
                    <w:rPr>
                      <w:color w:val="auto"/>
                      <w:highlight w:val="none"/>
                    </w:rPr>
                  </w:pPr>
                  <w:r>
                    <w:rPr>
                      <w:rFonts w:hint="eastAsia"/>
                      <w:color w:val="auto"/>
                      <w:highlight w:val="none"/>
                    </w:rPr>
                    <w:t>日照新村</w:t>
                  </w:r>
                </w:p>
              </w:tc>
              <w:tc>
                <w:tcPr>
                  <w:tcW w:w="726" w:type="pct"/>
                  <w:tcBorders>
                    <w:top w:val="single" w:color="auto" w:sz="4" w:space="0"/>
                    <w:left w:val="single" w:color="auto" w:sz="2" w:space="0"/>
                    <w:bottom w:val="single" w:color="auto" w:sz="4" w:space="0"/>
                    <w:right w:val="single" w:color="auto" w:sz="2" w:space="0"/>
                  </w:tcBorders>
                  <w:vAlign w:val="center"/>
                </w:tcPr>
                <w:p w14:paraId="58334CFF">
                  <w:pPr>
                    <w:pStyle w:val="58"/>
                    <w:rPr>
                      <w:color w:val="auto"/>
                      <w:highlight w:val="none"/>
                    </w:rPr>
                  </w:pPr>
                  <w:r>
                    <w:rPr>
                      <w:rFonts w:hint="eastAsia"/>
                      <w:color w:val="auto"/>
                      <w:highlight w:val="none"/>
                    </w:rPr>
                    <w:t>120.24266</w:t>
                  </w:r>
                </w:p>
              </w:tc>
              <w:tc>
                <w:tcPr>
                  <w:tcW w:w="650" w:type="pct"/>
                  <w:tcBorders>
                    <w:top w:val="single" w:color="auto" w:sz="4" w:space="0"/>
                    <w:left w:val="single" w:color="auto" w:sz="2" w:space="0"/>
                    <w:bottom w:val="single" w:color="auto" w:sz="4" w:space="0"/>
                    <w:right w:val="single" w:color="auto" w:sz="2" w:space="0"/>
                  </w:tcBorders>
                  <w:vAlign w:val="center"/>
                </w:tcPr>
                <w:p w14:paraId="431DA8BB">
                  <w:pPr>
                    <w:pStyle w:val="58"/>
                    <w:rPr>
                      <w:color w:val="auto"/>
                      <w:highlight w:val="none"/>
                    </w:rPr>
                  </w:pPr>
                  <w:r>
                    <w:rPr>
                      <w:rFonts w:hint="eastAsia"/>
                      <w:color w:val="auto"/>
                      <w:highlight w:val="none"/>
                    </w:rPr>
                    <w:t>31.80343</w:t>
                  </w:r>
                </w:p>
              </w:tc>
              <w:tc>
                <w:tcPr>
                  <w:tcW w:w="428" w:type="pct"/>
                  <w:tcBorders>
                    <w:top w:val="single" w:color="auto" w:sz="4" w:space="0"/>
                    <w:left w:val="single" w:color="auto" w:sz="2" w:space="0"/>
                    <w:bottom w:val="single" w:color="auto" w:sz="4" w:space="0"/>
                    <w:right w:val="single" w:color="auto" w:sz="2" w:space="0"/>
                  </w:tcBorders>
                  <w:vAlign w:val="center"/>
                </w:tcPr>
                <w:p w14:paraId="63DEEA18">
                  <w:pPr>
                    <w:pStyle w:val="58"/>
                    <w:rPr>
                      <w:color w:val="auto"/>
                      <w:highlight w:val="none"/>
                    </w:rPr>
                  </w:pPr>
                  <w:r>
                    <w:rPr>
                      <w:rFonts w:hint="eastAsia"/>
                      <w:color w:val="auto"/>
                      <w:highlight w:val="none"/>
                    </w:rPr>
                    <w:t>居民</w:t>
                  </w:r>
                </w:p>
              </w:tc>
              <w:tc>
                <w:tcPr>
                  <w:tcW w:w="909" w:type="pct"/>
                  <w:tcBorders>
                    <w:top w:val="single" w:color="auto" w:sz="4" w:space="0"/>
                    <w:left w:val="single" w:color="auto" w:sz="2" w:space="0"/>
                    <w:bottom w:val="single" w:color="auto" w:sz="4" w:space="0"/>
                    <w:right w:val="single" w:color="auto" w:sz="2" w:space="0"/>
                  </w:tcBorders>
                  <w:vAlign w:val="center"/>
                </w:tcPr>
                <w:p w14:paraId="79C78497">
                  <w:pPr>
                    <w:pStyle w:val="58"/>
                    <w:rPr>
                      <w:color w:val="auto"/>
                      <w:highlight w:val="none"/>
                    </w:rPr>
                  </w:pPr>
                  <w:r>
                    <w:rPr>
                      <w:rFonts w:hint="eastAsia"/>
                      <w:color w:val="auto"/>
                      <w:highlight w:val="none"/>
                    </w:rPr>
                    <w:t>200</w:t>
                  </w:r>
                  <w:r>
                    <w:rPr>
                      <w:color w:val="auto"/>
                      <w:highlight w:val="none"/>
                    </w:rPr>
                    <w:t>户360人</w:t>
                  </w:r>
                </w:p>
              </w:tc>
              <w:tc>
                <w:tcPr>
                  <w:tcW w:w="619" w:type="pct"/>
                  <w:tcBorders>
                    <w:top w:val="single" w:color="auto" w:sz="4" w:space="0"/>
                    <w:left w:val="single" w:color="auto" w:sz="2" w:space="0"/>
                    <w:bottom w:val="single" w:color="auto" w:sz="4" w:space="0"/>
                    <w:right w:val="single" w:color="auto" w:sz="2" w:space="0"/>
                  </w:tcBorders>
                </w:tcPr>
                <w:p w14:paraId="763687F1">
                  <w:pPr>
                    <w:pStyle w:val="58"/>
                    <w:rPr>
                      <w:color w:val="auto"/>
                      <w:highlight w:val="none"/>
                    </w:rPr>
                  </w:pPr>
                  <w:r>
                    <w:rPr>
                      <w:rFonts w:hint="eastAsia"/>
                      <w:color w:val="auto"/>
                      <w:highlight w:val="none"/>
                    </w:rPr>
                    <w:t>三类区</w:t>
                  </w:r>
                </w:p>
              </w:tc>
              <w:tc>
                <w:tcPr>
                  <w:tcW w:w="412" w:type="pct"/>
                  <w:tcBorders>
                    <w:top w:val="single" w:color="auto" w:sz="4" w:space="0"/>
                    <w:left w:val="single" w:color="auto" w:sz="2" w:space="0"/>
                    <w:bottom w:val="single" w:color="auto" w:sz="4" w:space="0"/>
                    <w:right w:val="single" w:color="auto" w:sz="2" w:space="0"/>
                  </w:tcBorders>
                  <w:vAlign w:val="center"/>
                </w:tcPr>
                <w:p w14:paraId="250A28C1">
                  <w:pPr>
                    <w:pStyle w:val="58"/>
                    <w:rPr>
                      <w:color w:val="auto"/>
                      <w:highlight w:val="none"/>
                    </w:rPr>
                  </w:pPr>
                  <w:r>
                    <w:rPr>
                      <w:rFonts w:hint="eastAsia"/>
                      <w:color w:val="auto"/>
                      <w:highlight w:val="none"/>
                    </w:rPr>
                    <w:t>SW</w:t>
                  </w:r>
                </w:p>
              </w:tc>
              <w:tc>
                <w:tcPr>
                  <w:tcW w:w="415" w:type="pct"/>
                  <w:tcBorders>
                    <w:top w:val="single" w:color="auto" w:sz="4" w:space="0"/>
                    <w:left w:val="single" w:color="auto" w:sz="2" w:space="0"/>
                    <w:bottom w:val="single" w:color="auto" w:sz="4" w:space="0"/>
                    <w:right w:val="nil"/>
                  </w:tcBorders>
                  <w:vAlign w:val="center"/>
                </w:tcPr>
                <w:p w14:paraId="11CA45DD">
                  <w:pPr>
                    <w:pStyle w:val="58"/>
                    <w:rPr>
                      <w:color w:val="auto"/>
                      <w:highlight w:val="none"/>
                    </w:rPr>
                  </w:pPr>
                  <w:r>
                    <w:rPr>
                      <w:rFonts w:hint="eastAsia"/>
                      <w:color w:val="auto"/>
                      <w:highlight w:val="none"/>
                    </w:rPr>
                    <w:t>243</w:t>
                  </w:r>
                </w:p>
              </w:tc>
            </w:tr>
            <w:tr w14:paraId="5BD25340">
              <w:tblPrEx>
                <w:tblBorders>
                  <w:top w:val="single" w:color="auto" w:sz="12"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4" w:hRule="atLeast"/>
                <w:jc w:val="center"/>
              </w:trPr>
              <w:tc>
                <w:tcPr>
                  <w:tcW w:w="838" w:type="pct"/>
                  <w:tcBorders>
                    <w:top w:val="single" w:color="auto" w:sz="4" w:space="0"/>
                    <w:left w:val="nil"/>
                    <w:bottom w:val="single" w:color="auto" w:sz="12" w:space="0"/>
                    <w:right w:val="single" w:color="auto" w:sz="2" w:space="0"/>
                  </w:tcBorders>
                  <w:vAlign w:val="center"/>
                </w:tcPr>
                <w:p w14:paraId="10903943">
                  <w:pPr>
                    <w:pStyle w:val="58"/>
                    <w:rPr>
                      <w:color w:val="auto"/>
                      <w:highlight w:val="none"/>
                    </w:rPr>
                  </w:pPr>
                  <w:r>
                    <w:rPr>
                      <w:rFonts w:hint="eastAsia"/>
                      <w:color w:val="auto"/>
                      <w:highlight w:val="none"/>
                    </w:rPr>
                    <w:t>徐家村</w:t>
                  </w:r>
                </w:p>
              </w:tc>
              <w:tc>
                <w:tcPr>
                  <w:tcW w:w="726" w:type="pct"/>
                  <w:tcBorders>
                    <w:top w:val="single" w:color="auto" w:sz="4" w:space="0"/>
                    <w:left w:val="single" w:color="auto" w:sz="2" w:space="0"/>
                    <w:bottom w:val="single" w:color="auto" w:sz="12" w:space="0"/>
                    <w:right w:val="single" w:color="auto" w:sz="2" w:space="0"/>
                  </w:tcBorders>
                  <w:vAlign w:val="center"/>
                </w:tcPr>
                <w:p w14:paraId="07F18B79">
                  <w:pPr>
                    <w:pStyle w:val="58"/>
                    <w:rPr>
                      <w:color w:val="auto"/>
                      <w:highlight w:val="none"/>
                    </w:rPr>
                  </w:pPr>
                  <w:r>
                    <w:rPr>
                      <w:rFonts w:hint="eastAsia"/>
                      <w:color w:val="auto"/>
                      <w:highlight w:val="none"/>
                    </w:rPr>
                    <w:t>120.24182</w:t>
                  </w:r>
                </w:p>
              </w:tc>
              <w:tc>
                <w:tcPr>
                  <w:tcW w:w="650" w:type="pct"/>
                  <w:tcBorders>
                    <w:top w:val="single" w:color="auto" w:sz="4" w:space="0"/>
                    <w:left w:val="single" w:color="auto" w:sz="2" w:space="0"/>
                    <w:bottom w:val="single" w:color="auto" w:sz="12" w:space="0"/>
                    <w:right w:val="single" w:color="auto" w:sz="2" w:space="0"/>
                  </w:tcBorders>
                  <w:vAlign w:val="center"/>
                </w:tcPr>
                <w:p w14:paraId="5880430C">
                  <w:pPr>
                    <w:pStyle w:val="58"/>
                    <w:rPr>
                      <w:color w:val="auto"/>
                      <w:highlight w:val="none"/>
                    </w:rPr>
                  </w:pPr>
                  <w:r>
                    <w:rPr>
                      <w:rFonts w:hint="eastAsia"/>
                      <w:color w:val="auto"/>
                      <w:highlight w:val="none"/>
                    </w:rPr>
                    <w:t>31.80096</w:t>
                  </w:r>
                </w:p>
              </w:tc>
              <w:tc>
                <w:tcPr>
                  <w:tcW w:w="428" w:type="pct"/>
                  <w:tcBorders>
                    <w:top w:val="single" w:color="auto" w:sz="4" w:space="0"/>
                    <w:left w:val="single" w:color="auto" w:sz="2" w:space="0"/>
                    <w:bottom w:val="single" w:color="auto" w:sz="12" w:space="0"/>
                    <w:right w:val="single" w:color="auto" w:sz="2" w:space="0"/>
                  </w:tcBorders>
                  <w:vAlign w:val="center"/>
                </w:tcPr>
                <w:p w14:paraId="4B991600">
                  <w:pPr>
                    <w:pStyle w:val="58"/>
                    <w:rPr>
                      <w:color w:val="auto"/>
                      <w:highlight w:val="none"/>
                    </w:rPr>
                  </w:pPr>
                  <w:r>
                    <w:rPr>
                      <w:rFonts w:hint="eastAsia"/>
                      <w:color w:val="auto"/>
                      <w:highlight w:val="none"/>
                    </w:rPr>
                    <w:t>居民</w:t>
                  </w:r>
                </w:p>
              </w:tc>
              <w:tc>
                <w:tcPr>
                  <w:tcW w:w="909" w:type="pct"/>
                  <w:tcBorders>
                    <w:top w:val="single" w:color="auto" w:sz="4" w:space="0"/>
                    <w:left w:val="single" w:color="auto" w:sz="2" w:space="0"/>
                    <w:bottom w:val="single" w:color="auto" w:sz="12" w:space="0"/>
                    <w:right w:val="single" w:color="auto" w:sz="2" w:space="0"/>
                  </w:tcBorders>
                  <w:vAlign w:val="center"/>
                </w:tcPr>
                <w:p w14:paraId="4AEDD464">
                  <w:pPr>
                    <w:pStyle w:val="58"/>
                    <w:rPr>
                      <w:color w:val="auto"/>
                      <w:highlight w:val="none"/>
                    </w:rPr>
                  </w:pPr>
                  <w:r>
                    <w:rPr>
                      <w:rFonts w:hint="eastAsia"/>
                      <w:color w:val="auto"/>
                      <w:highlight w:val="none"/>
                    </w:rPr>
                    <w:t>120</w:t>
                  </w:r>
                  <w:r>
                    <w:rPr>
                      <w:color w:val="auto"/>
                      <w:highlight w:val="none"/>
                    </w:rPr>
                    <w:t>户</w:t>
                  </w:r>
                  <w:r>
                    <w:rPr>
                      <w:rFonts w:hint="eastAsia"/>
                      <w:color w:val="auto"/>
                      <w:highlight w:val="none"/>
                    </w:rPr>
                    <w:t>220</w:t>
                  </w:r>
                  <w:r>
                    <w:rPr>
                      <w:color w:val="auto"/>
                      <w:highlight w:val="none"/>
                    </w:rPr>
                    <w:t>人</w:t>
                  </w:r>
                </w:p>
              </w:tc>
              <w:tc>
                <w:tcPr>
                  <w:tcW w:w="619" w:type="pct"/>
                  <w:tcBorders>
                    <w:top w:val="single" w:color="auto" w:sz="4" w:space="0"/>
                    <w:left w:val="single" w:color="auto" w:sz="2" w:space="0"/>
                    <w:bottom w:val="single" w:color="auto" w:sz="12" w:space="0"/>
                    <w:right w:val="single" w:color="auto" w:sz="2" w:space="0"/>
                  </w:tcBorders>
                  <w:vAlign w:val="center"/>
                </w:tcPr>
                <w:p w14:paraId="20F9EABB">
                  <w:pPr>
                    <w:pStyle w:val="58"/>
                    <w:rPr>
                      <w:color w:val="auto"/>
                      <w:highlight w:val="none"/>
                    </w:rPr>
                  </w:pPr>
                  <w:r>
                    <w:rPr>
                      <w:rFonts w:hint="eastAsia"/>
                      <w:color w:val="auto"/>
                      <w:highlight w:val="none"/>
                    </w:rPr>
                    <w:t>三类区</w:t>
                  </w:r>
                </w:p>
              </w:tc>
              <w:tc>
                <w:tcPr>
                  <w:tcW w:w="412" w:type="pct"/>
                  <w:tcBorders>
                    <w:top w:val="single" w:color="auto" w:sz="4" w:space="0"/>
                    <w:left w:val="single" w:color="auto" w:sz="2" w:space="0"/>
                    <w:bottom w:val="single" w:color="auto" w:sz="12" w:space="0"/>
                    <w:right w:val="single" w:color="auto" w:sz="2" w:space="0"/>
                  </w:tcBorders>
                  <w:vAlign w:val="center"/>
                </w:tcPr>
                <w:p w14:paraId="2EAEB8B7">
                  <w:pPr>
                    <w:pStyle w:val="58"/>
                    <w:rPr>
                      <w:color w:val="auto"/>
                      <w:highlight w:val="none"/>
                    </w:rPr>
                  </w:pPr>
                  <w:r>
                    <w:rPr>
                      <w:rFonts w:hint="eastAsia"/>
                      <w:color w:val="auto"/>
                      <w:highlight w:val="none"/>
                    </w:rPr>
                    <w:t>SW</w:t>
                  </w:r>
                </w:p>
              </w:tc>
              <w:tc>
                <w:tcPr>
                  <w:tcW w:w="415" w:type="pct"/>
                  <w:tcBorders>
                    <w:top w:val="single" w:color="auto" w:sz="4" w:space="0"/>
                    <w:left w:val="single" w:color="auto" w:sz="2" w:space="0"/>
                    <w:bottom w:val="single" w:color="auto" w:sz="12" w:space="0"/>
                    <w:right w:val="nil"/>
                  </w:tcBorders>
                  <w:vAlign w:val="center"/>
                </w:tcPr>
                <w:p w14:paraId="7FF10178">
                  <w:pPr>
                    <w:pStyle w:val="58"/>
                    <w:rPr>
                      <w:color w:val="auto"/>
                      <w:highlight w:val="none"/>
                    </w:rPr>
                  </w:pPr>
                  <w:r>
                    <w:rPr>
                      <w:rFonts w:hint="eastAsia"/>
                      <w:color w:val="auto"/>
                      <w:highlight w:val="none"/>
                    </w:rPr>
                    <w:t>409</w:t>
                  </w:r>
                </w:p>
              </w:tc>
            </w:tr>
          </w:tbl>
          <w:p w14:paraId="2ED0A56D">
            <w:pPr>
              <w:pStyle w:val="56"/>
              <w:ind w:firstLine="496"/>
              <w:rPr>
                <w:color w:val="auto"/>
                <w:highlight w:val="none"/>
              </w:rPr>
            </w:pPr>
            <w:r>
              <w:rPr>
                <w:rFonts w:hint="eastAsia"/>
                <w:color w:val="auto"/>
                <w:highlight w:val="none"/>
              </w:rPr>
              <w:t>（</w:t>
            </w:r>
            <w:r>
              <w:rPr>
                <w:color w:val="auto"/>
                <w:highlight w:val="none"/>
              </w:rPr>
              <w:t>2</w:t>
            </w:r>
            <w:r>
              <w:rPr>
                <w:rFonts w:hint="eastAsia"/>
                <w:color w:val="auto"/>
                <w:highlight w:val="none"/>
              </w:rPr>
              <w:t>）声环境：本项目厂界</w:t>
            </w:r>
            <w:r>
              <w:rPr>
                <w:color w:val="auto"/>
                <w:highlight w:val="none"/>
              </w:rPr>
              <w:t>50m</w:t>
            </w:r>
            <w:r>
              <w:rPr>
                <w:rFonts w:hint="eastAsia"/>
                <w:color w:val="auto"/>
                <w:highlight w:val="none"/>
              </w:rPr>
              <w:t>范围内无声环境保护目标。</w:t>
            </w:r>
          </w:p>
          <w:p w14:paraId="15672503">
            <w:pPr>
              <w:pStyle w:val="56"/>
              <w:ind w:firstLine="496"/>
              <w:rPr>
                <w:color w:val="auto"/>
                <w:highlight w:val="none"/>
              </w:rPr>
            </w:pPr>
            <w:r>
              <w:rPr>
                <w:rFonts w:hint="eastAsia"/>
                <w:color w:val="auto"/>
                <w:highlight w:val="none"/>
              </w:rPr>
              <w:t>（</w:t>
            </w:r>
            <w:r>
              <w:rPr>
                <w:color w:val="auto"/>
                <w:highlight w:val="none"/>
              </w:rPr>
              <w:t>3</w:t>
            </w:r>
            <w:r>
              <w:rPr>
                <w:rFonts w:hint="eastAsia"/>
                <w:color w:val="auto"/>
                <w:highlight w:val="none"/>
              </w:rPr>
              <w:t>）地下水环境：本项目</w:t>
            </w:r>
            <w:r>
              <w:rPr>
                <w:color w:val="auto"/>
                <w:highlight w:val="none"/>
              </w:rPr>
              <w:t>500m</w:t>
            </w:r>
            <w:r>
              <w:rPr>
                <w:rFonts w:hint="eastAsia"/>
                <w:color w:val="auto"/>
                <w:highlight w:val="none"/>
              </w:rPr>
              <w:t>范围内无地下水保护目标。</w:t>
            </w:r>
          </w:p>
          <w:p w14:paraId="31039279">
            <w:pPr>
              <w:pStyle w:val="56"/>
              <w:ind w:firstLine="496"/>
              <w:rPr>
                <w:color w:val="auto"/>
                <w:highlight w:val="none"/>
              </w:rPr>
            </w:pPr>
            <w:r>
              <w:rPr>
                <w:rFonts w:hint="eastAsia"/>
                <w:color w:val="auto"/>
                <w:highlight w:val="none"/>
              </w:rPr>
              <w:t>（</w:t>
            </w:r>
            <w:r>
              <w:rPr>
                <w:color w:val="auto"/>
                <w:highlight w:val="none"/>
              </w:rPr>
              <w:t>4</w:t>
            </w:r>
            <w:r>
              <w:rPr>
                <w:rFonts w:hint="eastAsia"/>
                <w:color w:val="auto"/>
                <w:highlight w:val="none"/>
              </w:rPr>
              <w:t>）生态环境：本项目不属于月城工业园区外新增用地，不涉及生态环境保护目标。</w:t>
            </w:r>
          </w:p>
          <w:p w14:paraId="7116F024">
            <w:pPr>
              <w:pStyle w:val="56"/>
              <w:ind w:firstLine="496"/>
              <w:rPr>
                <w:color w:val="auto"/>
                <w:highlight w:val="none"/>
              </w:rPr>
            </w:pPr>
            <w:r>
              <w:rPr>
                <w:rFonts w:hint="eastAsia"/>
                <w:color w:val="auto"/>
                <w:highlight w:val="none"/>
              </w:rPr>
              <w:t>声、地下水、生态环境保护目标见表</w:t>
            </w:r>
            <w:r>
              <w:rPr>
                <w:color w:val="auto"/>
                <w:highlight w:val="none"/>
              </w:rPr>
              <w:t>3-4</w:t>
            </w:r>
            <w:r>
              <w:rPr>
                <w:rFonts w:hint="eastAsia"/>
                <w:color w:val="auto"/>
                <w:highlight w:val="none"/>
              </w:rPr>
              <w:t>。</w:t>
            </w:r>
          </w:p>
          <w:p w14:paraId="18077A29">
            <w:pPr>
              <w:pStyle w:val="56"/>
              <w:ind w:firstLine="0" w:firstLineChars="0"/>
              <w:jc w:val="center"/>
              <w:rPr>
                <w:b/>
                <w:bCs/>
                <w:color w:val="auto"/>
                <w:highlight w:val="none"/>
              </w:rPr>
            </w:pPr>
            <w:r>
              <w:rPr>
                <w:rFonts w:hint="eastAsia"/>
                <w:b/>
                <w:bCs/>
                <w:color w:val="auto"/>
                <w:highlight w:val="none"/>
              </w:rPr>
              <w:t>表</w:t>
            </w:r>
            <w:r>
              <w:rPr>
                <w:b/>
                <w:bCs/>
                <w:color w:val="auto"/>
                <w:highlight w:val="none"/>
              </w:rPr>
              <w:t>3-4</w:t>
            </w:r>
            <w:r>
              <w:rPr>
                <w:rFonts w:hint="eastAsia"/>
                <w:b/>
                <w:bCs/>
                <w:color w:val="auto"/>
                <w:highlight w:val="none"/>
              </w:rPr>
              <w:t xml:space="preserve"> 声、地下水、生态环境保护目标</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49"/>
              <w:gridCol w:w="1649"/>
              <w:gridCol w:w="873"/>
              <w:gridCol w:w="1227"/>
              <w:gridCol w:w="1140"/>
              <w:gridCol w:w="2100"/>
            </w:tblGrid>
            <w:tr w14:paraId="12F843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9" w:type="dxa"/>
                  <w:vMerge w:val="restart"/>
                  <w:tcBorders>
                    <w:top w:val="single" w:color="auto" w:sz="12" w:space="0"/>
                    <w:left w:val="nil"/>
                    <w:bottom w:val="single" w:color="auto" w:sz="4" w:space="0"/>
                    <w:right w:val="single" w:color="auto" w:sz="4" w:space="0"/>
                  </w:tcBorders>
                  <w:vAlign w:val="center"/>
                </w:tcPr>
                <w:p w14:paraId="71E62BB7">
                  <w:pPr>
                    <w:pStyle w:val="58"/>
                    <w:rPr>
                      <w:b/>
                      <w:bCs/>
                      <w:color w:val="auto"/>
                      <w:highlight w:val="none"/>
                    </w:rPr>
                  </w:pPr>
                  <w:r>
                    <w:rPr>
                      <w:rFonts w:hint="eastAsia"/>
                      <w:b/>
                      <w:bCs/>
                      <w:color w:val="auto"/>
                      <w:highlight w:val="none"/>
                    </w:rPr>
                    <w:t>环境要素</w:t>
                  </w:r>
                </w:p>
              </w:tc>
              <w:tc>
                <w:tcPr>
                  <w:tcW w:w="1649" w:type="dxa"/>
                  <w:vMerge w:val="restart"/>
                  <w:tcBorders>
                    <w:top w:val="single" w:color="auto" w:sz="12" w:space="0"/>
                    <w:left w:val="single" w:color="auto" w:sz="4" w:space="0"/>
                    <w:bottom w:val="single" w:color="auto" w:sz="4" w:space="0"/>
                    <w:right w:val="single" w:color="auto" w:sz="4" w:space="0"/>
                  </w:tcBorders>
                  <w:vAlign w:val="center"/>
                </w:tcPr>
                <w:p w14:paraId="26280DDC">
                  <w:pPr>
                    <w:pStyle w:val="58"/>
                    <w:rPr>
                      <w:b/>
                      <w:bCs/>
                      <w:color w:val="auto"/>
                      <w:highlight w:val="none"/>
                    </w:rPr>
                  </w:pPr>
                  <w:r>
                    <w:rPr>
                      <w:rFonts w:hint="eastAsia"/>
                      <w:b/>
                      <w:bCs/>
                      <w:color w:val="auto"/>
                      <w:highlight w:val="none"/>
                    </w:rPr>
                    <w:t>环境保护目标</w:t>
                  </w:r>
                </w:p>
              </w:tc>
              <w:tc>
                <w:tcPr>
                  <w:tcW w:w="3240" w:type="dxa"/>
                  <w:gridSpan w:val="3"/>
                  <w:tcBorders>
                    <w:top w:val="single" w:color="auto" w:sz="12" w:space="0"/>
                    <w:left w:val="single" w:color="auto" w:sz="4" w:space="0"/>
                    <w:bottom w:val="single" w:color="auto" w:sz="4" w:space="0"/>
                    <w:right w:val="single" w:color="auto" w:sz="4" w:space="0"/>
                  </w:tcBorders>
                  <w:vAlign w:val="center"/>
                </w:tcPr>
                <w:p w14:paraId="69A8667E">
                  <w:pPr>
                    <w:pStyle w:val="58"/>
                    <w:rPr>
                      <w:b/>
                      <w:bCs/>
                      <w:color w:val="auto"/>
                      <w:highlight w:val="none"/>
                    </w:rPr>
                  </w:pPr>
                  <w:r>
                    <w:rPr>
                      <w:rFonts w:hint="eastAsia"/>
                      <w:b/>
                      <w:bCs/>
                      <w:color w:val="auto"/>
                      <w:highlight w:val="none"/>
                    </w:rPr>
                    <w:t>距建设项目厂界</w:t>
                  </w:r>
                </w:p>
              </w:tc>
              <w:tc>
                <w:tcPr>
                  <w:tcW w:w="2100" w:type="dxa"/>
                  <w:vMerge w:val="restart"/>
                  <w:tcBorders>
                    <w:top w:val="single" w:color="auto" w:sz="12" w:space="0"/>
                    <w:left w:val="single" w:color="auto" w:sz="4" w:space="0"/>
                    <w:bottom w:val="single" w:color="auto" w:sz="12" w:space="0"/>
                    <w:right w:val="nil"/>
                  </w:tcBorders>
                  <w:vAlign w:val="center"/>
                </w:tcPr>
                <w:p w14:paraId="7C70EB1A">
                  <w:pPr>
                    <w:pStyle w:val="58"/>
                    <w:rPr>
                      <w:b/>
                      <w:bCs/>
                      <w:color w:val="auto"/>
                      <w:highlight w:val="none"/>
                    </w:rPr>
                  </w:pPr>
                  <w:r>
                    <w:rPr>
                      <w:rFonts w:hint="eastAsia"/>
                      <w:b/>
                      <w:bCs/>
                      <w:color w:val="auto"/>
                      <w:highlight w:val="none"/>
                    </w:rPr>
                    <w:t>环境功能</w:t>
                  </w:r>
                </w:p>
              </w:tc>
            </w:tr>
            <w:tr w14:paraId="7AF507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9" w:type="dxa"/>
                  <w:vMerge w:val="continue"/>
                  <w:tcBorders>
                    <w:top w:val="single" w:color="auto" w:sz="12" w:space="0"/>
                    <w:left w:val="nil"/>
                    <w:bottom w:val="single" w:color="auto" w:sz="12" w:space="0"/>
                    <w:right w:val="single" w:color="auto" w:sz="4" w:space="0"/>
                  </w:tcBorders>
                  <w:vAlign w:val="center"/>
                </w:tcPr>
                <w:p w14:paraId="5951A758">
                  <w:pPr>
                    <w:pStyle w:val="58"/>
                    <w:rPr>
                      <w:color w:val="auto"/>
                      <w:highlight w:val="none"/>
                    </w:rPr>
                  </w:pPr>
                </w:p>
              </w:tc>
              <w:tc>
                <w:tcPr>
                  <w:tcW w:w="1649" w:type="dxa"/>
                  <w:vMerge w:val="continue"/>
                  <w:tcBorders>
                    <w:top w:val="single" w:color="auto" w:sz="12" w:space="0"/>
                    <w:left w:val="single" w:color="auto" w:sz="4" w:space="0"/>
                    <w:bottom w:val="single" w:color="auto" w:sz="12" w:space="0"/>
                    <w:right w:val="single" w:color="auto" w:sz="4" w:space="0"/>
                  </w:tcBorders>
                  <w:vAlign w:val="center"/>
                </w:tcPr>
                <w:p w14:paraId="2C8DBE2D">
                  <w:pPr>
                    <w:pStyle w:val="58"/>
                    <w:rPr>
                      <w:color w:val="auto"/>
                      <w:highlight w:val="none"/>
                    </w:rPr>
                  </w:pPr>
                </w:p>
              </w:tc>
              <w:tc>
                <w:tcPr>
                  <w:tcW w:w="873" w:type="dxa"/>
                  <w:tcBorders>
                    <w:top w:val="single" w:color="auto" w:sz="4" w:space="0"/>
                    <w:left w:val="single" w:color="auto" w:sz="4" w:space="0"/>
                    <w:bottom w:val="single" w:color="auto" w:sz="12" w:space="0"/>
                    <w:right w:val="single" w:color="auto" w:sz="4" w:space="0"/>
                  </w:tcBorders>
                  <w:vAlign w:val="center"/>
                </w:tcPr>
                <w:p w14:paraId="54C58AB4">
                  <w:pPr>
                    <w:pStyle w:val="58"/>
                    <w:rPr>
                      <w:b/>
                      <w:color w:val="auto"/>
                      <w:highlight w:val="none"/>
                    </w:rPr>
                  </w:pPr>
                  <w:r>
                    <w:rPr>
                      <w:rFonts w:hint="eastAsia"/>
                      <w:b/>
                      <w:color w:val="auto"/>
                      <w:highlight w:val="none"/>
                    </w:rPr>
                    <w:t>方位</w:t>
                  </w:r>
                </w:p>
              </w:tc>
              <w:tc>
                <w:tcPr>
                  <w:tcW w:w="1227" w:type="dxa"/>
                  <w:tcBorders>
                    <w:top w:val="single" w:color="auto" w:sz="4" w:space="0"/>
                    <w:left w:val="single" w:color="auto" w:sz="4" w:space="0"/>
                    <w:bottom w:val="single" w:color="auto" w:sz="12" w:space="0"/>
                    <w:right w:val="single" w:color="auto" w:sz="4" w:space="0"/>
                  </w:tcBorders>
                  <w:vAlign w:val="center"/>
                </w:tcPr>
                <w:p w14:paraId="39670ABC">
                  <w:pPr>
                    <w:pStyle w:val="58"/>
                    <w:rPr>
                      <w:b/>
                      <w:color w:val="auto"/>
                      <w:highlight w:val="none"/>
                    </w:rPr>
                  </w:pPr>
                  <w:r>
                    <w:rPr>
                      <w:rFonts w:hint="eastAsia"/>
                      <w:b/>
                      <w:color w:val="auto"/>
                      <w:highlight w:val="none"/>
                    </w:rPr>
                    <w:t>距离</w:t>
                  </w:r>
                  <w:r>
                    <w:rPr>
                      <w:b/>
                      <w:color w:val="auto"/>
                      <w:highlight w:val="none"/>
                    </w:rPr>
                    <w:t>(m)</w:t>
                  </w:r>
                </w:p>
              </w:tc>
              <w:tc>
                <w:tcPr>
                  <w:tcW w:w="1140" w:type="dxa"/>
                  <w:tcBorders>
                    <w:top w:val="single" w:color="auto" w:sz="4" w:space="0"/>
                    <w:left w:val="single" w:color="auto" w:sz="4" w:space="0"/>
                    <w:bottom w:val="single" w:color="auto" w:sz="12" w:space="0"/>
                    <w:right w:val="single" w:color="auto" w:sz="4" w:space="0"/>
                  </w:tcBorders>
                  <w:vAlign w:val="center"/>
                </w:tcPr>
                <w:p w14:paraId="4113A4FD">
                  <w:pPr>
                    <w:pStyle w:val="58"/>
                    <w:rPr>
                      <w:b/>
                      <w:color w:val="auto"/>
                      <w:highlight w:val="none"/>
                    </w:rPr>
                  </w:pPr>
                  <w:r>
                    <w:rPr>
                      <w:rFonts w:hint="eastAsia"/>
                      <w:b/>
                      <w:color w:val="auto"/>
                      <w:highlight w:val="none"/>
                    </w:rPr>
                    <w:t>规模</w:t>
                  </w:r>
                </w:p>
              </w:tc>
              <w:tc>
                <w:tcPr>
                  <w:tcW w:w="2100" w:type="dxa"/>
                  <w:vMerge w:val="continue"/>
                  <w:tcBorders>
                    <w:top w:val="single" w:color="auto" w:sz="12" w:space="0"/>
                    <w:left w:val="single" w:color="auto" w:sz="4" w:space="0"/>
                    <w:bottom w:val="single" w:color="auto" w:sz="12" w:space="0"/>
                    <w:right w:val="nil"/>
                  </w:tcBorders>
                  <w:vAlign w:val="center"/>
                </w:tcPr>
                <w:p w14:paraId="29AD5DD2">
                  <w:pPr>
                    <w:pStyle w:val="58"/>
                    <w:rPr>
                      <w:color w:val="auto"/>
                      <w:highlight w:val="none"/>
                    </w:rPr>
                  </w:pPr>
                </w:p>
              </w:tc>
            </w:tr>
            <w:tr w14:paraId="74A2D0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9" w:type="dxa"/>
                  <w:tcBorders>
                    <w:top w:val="single" w:color="auto" w:sz="12" w:space="0"/>
                    <w:left w:val="nil"/>
                    <w:bottom w:val="single" w:color="auto" w:sz="4" w:space="0"/>
                    <w:right w:val="single" w:color="auto" w:sz="4" w:space="0"/>
                  </w:tcBorders>
                  <w:vAlign w:val="center"/>
                </w:tcPr>
                <w:p w14:paraId="253EB3C5">
                  <w:pPr>
                    <w:pStyle w:val="58"/>
                    <w:rPr>
                      <w:color w:val="auto"/>
                      <w:highlight w:val="none"/>
                    </w:rPr>
                  </w:pPr>
                  <w:r>
                    <w:rPr>
                      <w:rFonts w:hint="eastAsia"/>
                      <w:color w:val="auto"/>
                      <w:highlight w:val="none"/>
                    </w:rPr>
                    <w:t>声环境</w:t>
                  </w:r>
                </w:p>
              </w:tc>
              <w:tc>
                <w:tcPr>
                  <w:tcW w:w="1649" w:type="dxa"/>
                  <w:tcBorders>
                    <w:top w:val="single" w:color="auto" w:sz="12" w:space="0"/>
                    <w:left w:val="single" w:color="auto" w:sz="4" w:space="0"/>
                    <w:bottom w:val="single" w:color="auto" w:sz="4" w:space="0"/>
                    <w:right w:val="single" w:color="auto" w:sz="4" w:space="0"/>
                  </w:tcBorders>
                  <w:vAlign w:val="center"/>
                </w:tcPr>
                <w:p w14:paraId="718352EC">
                  <w:pPr>
                    <w:pStyle w:val="58"/>
                    <w:rPr>
                      <w:color w:val="auto"/>
                      <w:highlight w:val="none"/>
                    </w:rPr>
                  </w:pPr>
                  <w:r>
                    <w:rPr>
                      <w:rFonts w:hint="eastAsia"/>
                      <w:color w:val="auto"/>
                      <w:highlight w:val="none"/>
                    </w:rPr>
                    <w:t>厂界外</w:t>
                  </w:r>
                  <w:r>
                    <w:rPr>
                      <w:color w:val="auto"/>
                      <w:highlight w:val="none"/>
                    </w:rPr>
                    <w:t>1m</w:t>
                  </w:r>
                </w:p>
              </w:tc>
              <w:tc>
                <w:tcPr>
                  <w:tcW w:w="873" w:type="dxa"/>
                  <w:tcBorders>
                    <w:top w:val="single" w:color="auto" w:sz="12" w:space="0"/>
                    <w:left w:val="single" w:color="auto" w:sz="4" w:space="0"/>
                    <w:bottom w:val="single" w:color="auto" w:sz="4" w:space="0"/>
                    <w:right w:val="single" w:color="auto" w:sz="4" w:space="0"/>
                  </w:tcBorders>
                  <w:vAlign w:val="center"/>
                </w:tcPr>
                <w:p w14:paraId="56111714">
                  <w:pPr>
                    <w:pStyle w:val="58"/>
                    <w:rPr>
                      <w:color w:val="auto"/>
                      <w:highlight w:val="none"/>
                    </w:rPr>
                  </w:pPr>
                  <w:r>
                    <w:rPr>
                      <w:color w:val="auto"/>
                      <w:highlight w:val="none"/>
                    </w:rPr>
                    <w:t>/</w:t>
                  </w:r>
                </w:p>
              </w:tc>
              <w:tc>
                <w:tcPr>
                  <w:tcW w:w="1227" w:type="dxa"/>
                  <w:tcBorders>
                    <w:top w:val="single" w:color="auto" w:sz="12" w:space="0"/>
                    <w:left w:val="single" w:color="auto" w:sz="4" w:space="0"/>
                    <w:bottom w:val="single" w:color="auto" w:sz="4" w:space="0"/>
                    <w:right w:val="single" w:color="auto" w:sz="4" w:space="0"/>
                  </w:tcBorders>
                  <w:vAlign w:val="center"/>
                </w:tcPr>
                <w:p w14:paraId="68AF311B">
                  <w:pPr>
                    <w:pStyle w:val="58"/>
                    <w:rPr>
                      <w:color w:val="auto"/>
                      <w:highlight w:val="none"/>
                    </w:rPr>
                  </w:pPr>
                  <w:r>
                    <w:rPr>
                      <w:color w:val="auto"/>
                      <w:highlight w:val="none"/>
                    </w:rPr>
                    <w:t>/</w:t>
                  </w:r>
                </w:p>
              </w:tc>
              <w:tc>
                <w:tcPr>
                  <w:tcW w:w="1140" w:type="dxa"/>
                  <w:tcBorders>
                    <w:top w:val="single" w:color="auto" w:sz="12" w:space="0"/>
                    <w:left w:val="single" w:color="auto" w:sz="4" w:space="0"/>
                    <w:bottom w:val="single" w:color="auto" w:sz="4" w:space="0"/>
                    <w:right w:val="single" w:color="auto" w:sz="4" w:space="0"/>
                  </w:tcBorders>
                  <w:vAlign w:val="center"/>
                </w:tcPr>
                <w:p w14:paraId="23FBC6A8">
                  <w:pPr>
                    <w:pStyle w:val="58"/>
                    <w:rPr>
                      <w:color w:val="auto"/>
                      <w:highlight w:val="none"/>
                    </w:rPr>
                  </w:pPr>
                  <w:r>
                    <w:rPr>
                      <w:color w:val="auto"/>
                      <w:highlight w:val="none"/>
                    </w:rPr>
                    <w:t>/</w:t>
                  </w:r>
                </w:p>
              </w:tc>
              <w:tc>
                <w:tcPr>
                  <w:tcW w:w="2100" w:type="dxa"/>
                  <w:tcBorders>
                    <w:top w:val="single" w:color="auto" w:sz="12" w:space="0"/>
                    <w:left w:val="single" w:color="auto" w:sz="4" w:space="0"/>
                    <w:bottom w:val="single" w:color="auto" w:sz="4" w:space="0"/>
                    <w:right w:val="nil"/>
                  </w:tcBorders>
                  <w:vAlign w:val="center"/>
                </w:tcPr>
                <w:p w14:paraId="0D00D973">
                  <w:pPr>
                    <w:pStyle w:val="58"/>
                    <w:rPr>
                      <w:color w:val="auto"/>
                      <w:highlight w:val="none"/>
                    </w:rPr>
                  </w:pPr>
                  <w:r>
                    <w:rPr>
                      <w:color w:val="auto"/>
                      <w:highlight w:val="none"/>
                    </w:rPr>
                    <w:t>GB3096-2008</w:t>
                  </w:r>
                  <w:r>
                    <w:rPr>
                      <w:rFonts w:hint="eastAsia"/>
                      <w:color w:val="auto"/>
                      <w:highlight w:val="none"/>
                    </w:rPr>
                    <w:t>中</w:t>
                  </w:r>
                  <w:r>
                    <w:rPr>
                      <w:color w:val="auto"/>
                      <w:highlight w:val="none"/>
                    </w:rPr>
                    <w:t>3</w:t>
                  </w:r>
                  <w:r>
                    <w:rPr>
                      <w:rFonts w:hint="eastAsia"/>
                      <w:color w:val="auto"/>
                      <w:highlight w:val="none"/>
                    </w:rPr>
                    <w:t>类</w:t>
                  </w:r>
                </w:p>
              </w:tc>
            </w:tr>
            <w:tr w14:paraId="005DA5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9" w:type="dxa"/>
                  <w:tcBorders>
                    <w:top w:val="single" w:color="auto" w:sz="4" w:space="0"/>
                    <w:left w:val="nil"/>
                    <w:bottom w:val="single" w:color="auto" w:sz="4" w:space="0"/>
                    <w:right w:val="single" w:color="auto" w:sz="4" w:space="0"/>
                  </w:tcBorders>
                  <w:vAlign w:val="center"/>
                </w:tcPr>
                <w:p w14:paraId="25130EFC">
                  <w:pPr>
                    <w:pStyle w:val="58"/>
                    <w:rPr>
                      <w:color w:val="auto"/>
                      <w:highlight w:val="none"/>
                    </w:rPr>
                  </w:pPr>
                  <w:r>
                    <w:rPr>
                      <w:rFonts w:hint="eastAsia"/>
                      <w:color w:val="auto"/>
                      <w:highlight w:val="none"/>
                    </w:rPr>
                    <w:t>地下水</w:t>
                  </w:r>
                </w:p>
              </w:tc>
              <w:tc>
                <w:tcPr>
                  <w:tcW w:w="1649" w:type="dxa"/>
                  <w:tcBorders>
                    <w:top w:val="single" w:color="auto" w:sz="4" w:space="0"/>
                    <w:left w:val="single" w:color="auto" w:sz="4" w:space="0"/>
                    <w:bottom w:val="single" w:color="auto" w:sz="4" w:space="0"/>
                    <w:right w:val="single" w:color="auto" w:sz="4" w:space="0"/>
                  </w:tcBorders>
                  <w:vAlign w:val="center"/>
                </w:tcPr>
                <w:p w14:paraId="673291D1">
                  <w:pPr>
                    <w:pStyle w:val="58"/>
                    <w:rPr>
                      <w:color w:val="auto"/>
                      <w:highlight w:val="none"/>
                    </w:rPr>
                  </w:pPr>
                  <w:r>
                    <w:rPr>
                      <w:color w:val="auto"/>
                      <w:highlight w:val="none"/>
                    </w:rPr>
                    <w:t>/</w:t>
                  </w:r>
                </w:p>
              </w:tc>
              <w:tc>
                <w:tcPr>
                  <w:tcW w:w="873" w:type="dxa"/>
                  <w:tcBorders>
                    <w:top w:val="single" w:color="auto" w:sz="4" w:space="0"/>
                    <w:left w:val="single" w:color="auto" w:sz="4" w:space="0"/>
                    <w:bottom w:val="single" w:color="auto" w:sz="4" w:space="0"/>
                    <w:right w:val="single" w:color="auto" w:sz="4" w:space="0"/>
                  </w:tcBorders>
                  <w:vAlign w:val="center"/>
                </w:tcPr>
                <w:p w14:paraId="1A10E894">
                  <w:pPr>
                    <w:pStyle w:val="58"/>
                    <w:rPr>
                      <w:color w:val="auto"/>
                      <w:highlight w:val="none"/>
                    </w:rPr>
                  </w:pPr>
                  <w:r>
                    <w:rPr>
                      <w:color w:val="auto"/>
                      <w:highlight w:val="none"/>
                    </w:rPr>
                    <w:t>/</w:t>
                  </w:r>
                </w:p>
              </w:tc>
              <w:tc>
                <w:tcPr>
                  <w:tcW w:w="1227" w:type="dxa"/>
                  <w:tcBorders>
                    <w:top w:val="single" w:color="auto" w:sz="4" w:space="0"/>
                    <w:left w:val="single" w:color="auto" w:sz="4" w:space="0"/>
                    <w:bottom w:val="single" w:color="auto" w:sz="4" w:space="0"/>
                    <w:right w:val="single" w:color="auto" w:sz="4" w:space="0"/>
                  </w:tcBorders>
                  <w:vAlign w:val="center"/>
                </w:tcPr>
                <w:p w14:paraId="15B72D97">
                  <w:pPr>
                    <w:pStyle w:val="58"/>
                    <w:rPr>
                      <w:color w:val="auto"/>
                      <w:highlight w:val="none"/>
                    </w:rPr>
                  </w:pPr>
                  <w:r>
                    <w:rPr>
                      <w:color w:val="auto"/>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2F5CB9B2">
                  <w:pPr>
                    <w:pStyle w:val="58"/>
                    <w:rPr>
                      <w:color w:val="auto"/>
                      <w:highlight w:val="none"/>
                    </w:rPr>
                  </w:pPr>
                  <w:r>
                    <w:rPr>
                      <w:color w:val="auto"/>
                      <w:highlight w:val="none"/>
                    </w:rPr>
                    <w:t>/</w:t>
                  </w:r>
                </w:p>
              </w:tc>
              <w:tc>
                <w:tcPr>
                  <w:tcW w:w="2100" w:type="dxa"/>
                  <w:tcBorders>
                    <w:top w:val="single" w:color="auto" w:sz="4" w:space="0"/>
                    <w:left w:val="single" w:color="auto" w:sz="4" w:space="0"/>
                    <w:bottom w:val="single" w:color="auto" w:sz="4" w:space="0"/>
                    <w:right w:val="nil"/>
                  </w:tcBorders>
                  <w:vAlign w:val="center"/>
                </w:tcPr>
                <w:p w14:paraId="134CB237">
                  <w:pPr>
                    <w:pStyle w:val="58"/>
                    <w:rPr>
                      <w:color w:val="auto"/>
                      <w:highlight w:val="none"/>
                    </w:rPr>
                  </w:pPr>
                  <w:r>
                    <w:rPr>
                      <w:color w:val="auto"/>
                      <w:highlight w:val="none"/>
                    </w:rPr>
                    <w:t>/</w:t>
                  </w:r>
                </w:p>
              </w:tc>
            </w:tr>
            <w:tr w14:paraId="49FCC0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9" w:type="dxa"/>
                  <w:vMerge w:val="restart"/>
                  <w:tcBorders>
                    <w:top w:val="single" w:color="auto" w:sz="4" w:space="0"/>
                    <w:left w:val="nil"/>
                    <w:right w:val="single" w:color="auto" w:sz="4" w:space="0"/>
                  </w:tcBorders>
                  <w:vAlign w:val="center"/>
                </w:tcPr>
                <w:p w14:paraId="23A5B7B8">
                  <w:pPr>
                    <w:pStyle w:val="58"/>
                    <w:rPr>
                      <w:color w:val="auto"/>
                      <w:highlight w:val="none"/>
                    </w:rPr>
                  </w:pPr>
                  <w:r>
                    <w:rPr>
                      <w:rFonts w:hint="eastAsia"/>
                      <w:color w:val="auto"/>
                      <w:highlight w:val="none"/>
                    </w:rPr>
                    <w:t>生态环境</w:t>
                  </w:r>
                </w:p>
              </w:tc>
              <w:tc>
                <w:tcPr>
                  <w:tcW w:w="1649" w:type="dxa"/>
                  <w:tcBorders>
                    <w:top w:val="single" w:color="auto" w:sz="4" w:space="0"/>
                    <w:left w:val="single" w:color="auto" w:sz="4" w:space="0"/>
                    <w:bottom w:val="single" w:color="auto" w:sz="4" w:space="0"/>
                    <w:right w:val="single" w:color="auto" w:sz="4" w:space="0"/>
                  </w:tcBorders>
                  <w:vAlign w:val="center"/>
                </w:tcPr>
                <w:p w14:paraId="2785D3FB">
                  <w:pPr>
                    <w:pStyle w:val="58"/>
                    <w:rPr>
                      <w:color w:val="auto"/>
                      <w:highlight w:val="none"/>
                    </w:rPr>
                  </w:pPr>
                  <w:r>
                    <w:rPr>
                      <w:rFonts w:hint="eastAsia"/>
                      <w:color w:val="auto"/>
                      <w:highlight w:val="none"/>
                    </w:rPr>
                    <w:t>江阴芙蓉湖省级湿地公园</w:t>
                  </w:r>
                </w:p>
              </w:tc>
              <w:tc>
                <w:tcPr>
                  <w:tcW w:w="873" w:type="dxa"/>
                  <w:tcBorders>
                    <w:top w:val="single" w:color="auto" w:sz="4" w:space="0"/>
                    <w:left w:val="single" w:color="auto" w:sz="4" w:space="0"/>
                    <w:bottom w:val="single" w:color="auto" w:sz="4" w:space="0"/>
                    <w:right w:val="single" w:color="auto" w:sz="4" w:space="0"/>
                  </w:tcBorders>
                  <w:vAlign w:val="center"/>
                </w:tcPr>
                <w:p w14:paraId="542206A5">
                  <w:pPr>
                    <w:pStyle w:val="58"/>
                    <w:rPr>
                      <w:color w:val="auto"/>
                      <w:highlight w:val="none"/>
                    </w:rPr>
                  </w:pPr>
                  <w:r>
                    <w:rPr>
                      <w:rFonts w:hint="eastAsia"/>
                      <w:color w:val="auto"/>
                      <w:highlight w:val="none"/>
                    </w:rPr>
                    <w:t>西南</w:t>
                  </w:r>
                </w:p>
              </w:tc>
              <w:tc>
                <w:tcPr>
                  <w:tcW w:w="1227" w:type="dxa"/>
                  <w:tcBorders>
                    <w:top w:val="single" w:color="auto" w:sz="4" w:space="0"/>
                    <w:left w:val="single" w:color="auto" w:sz="4" w:space="0"/>
                    <w:bottom w:val="single" w:color="auto" w:sz="4" w:space="0"/>
                    <w:right w:val="single" w:color="auto" w:sz="4" w:space="0"/>
                  </w:tcBorders>
                  <w:vAlign w:val="center"/>
                </w:tcPr>
                <w:p w14:paraId="3865C634">
                  <w:pPr>
                    <w:pStyle w:val="58"/>
                    <w:rPr>
                      <w:color w:val="auto"/>
                      <w:highlight w:val="none"/>
                    </w:rPr>
                  </w:pPr>
                  <w:r>
                    <w:rPr>
                      <w:rFonts w:hint="eastAsia"/>
                      <w:color w:val="auto"/>
                      <w:highlight w:val="none"/>
                    </w:rPr>
                    <w:t>4230</w:t>
                  </w:r>
                </w:p>
              </w:tc>
              <w:tc>
                <w:tcPr>
                  <w:tcW w:w="1140" w:type="dxa"/>
                  <w:tcBorders>
                    <w:top w:val="single" w:color="auto" w:sz="4" w:space="0"/>
                    <w:left w:val="single" w:color="auto" w:sz="4" w:space="0"/>
                    <w:bottom w:val="single" w:color="auto" w:sz="4" w:space="0"/>
                    <w:right w:val="single" w:color="auto" w:sz="4" w:space="0"/>
                  </w:tcBorders>
                  <w:vAlign w:val="center"/>
                </w:tcPr>
                <w:p w14:paraId="33717FB3">
                  <w:pPr>
                    <w:pStyle w:val="58"/>
                    <w:rPr>
                      <w:color w:val="auto"/>
                      <w:highlight w:val="none"/>
                    </w:rPr>
                  </w:pPr>
                  <w:r>
                    <w:rPr>
                      <w:color w:val="auto"/>
                      <w:highlight w:val="none"/>
                    </w:rPr>
                    <w:t>/</w:t>
                  </w:r>
                </w:p>
              </w:tc>
              <w:tc>
                <w:tcPr>
                  <w:tcW w:w="2100" w:type="dxa"/>
                  <w:tcBorders>
                    <w:top w:val="single" w:color="auto" w:sz="4" w:space="0"/>
                    <w:left w:val="single" w:color="auto" w:sz="4" w:space="0"/>
                    <w:bottom w:val="single" w:color="auto" w:sz="4" w:space="0"/>
                    <w:right w:val="nil"/>
                  </w:tcBorders>
                  <w:vAlign w:val="center"/>
                </w:tcPr>
                <w:p w14:paraId="243CC275">
                  <w:pPr>
                    <w:pStyle w:val="58"/>
                    <w:rPr>
                      <w:color w:val="auto"/>
                      <w:highlight w:val="none"/>
                    </w:rPr>
                  </w:pPr>
                  <w:r>
                    <w:rPr>
                      <w:rFonts w:hint="eastAsia"/>
                      <w:color w:val="auto"/>
                      <w:highlight w:val="none"/>
                    </w:rPr>
                    <w:t>生态保护红线</w:t>
                  </w:r>
                </w:p>
              </w:tc>
            </w:tr>
            <w:tr w14:paraId="20CE60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9" w:type="dxa"/>
                  <w:vMerge w:val="continue"/>
                  <w:tcBorders>
                    <w:left w:val="nil"/>
                    <w:bottom w:val="single" w:color="auto" w:sz="12" w:space="0"/>
                    <w:right w:val="single" w:color="auto" w:sz="4" w:space="0"/>
                  </w:tcBorders>
                  <w:vAlign w:val="center"/>
                </w:tcPr>
                <w:p w14:paraId="00709DC1">
                  <w:pPr>
                    <w:pStyle w:val="58"/>
                    <w:rPr>
                      <w:color w:val="auto"/>
                      <w:highlight w:val="none"/>
                    </w:rPr>
                  </w:pPr>
                </w:p>
              </w:tc>
              <w:tc>
                <w:tcPr>
                  <w:tcW w:w="1649" w:type="dxa"/>
                  <w:tcBorders>
                    <w:top w:val="single" w:color="auto" w:sz="4" w:space="0"/>
                    <w:left w:val="single" w:color="auto" w:sz="4" w:space="0"/>
                    <w:bottom w:val="single" w:color="auto" w:sz="12" w:space="0"/>
                    <w:right w:val="single" w:color="auto" w:sz="4" w:space="0"/>
                  </w:tcBorders>
                  <w:vAlign w:val="center"/>
                </w:tcPr>
                <w:p w14:paraId="7B60A6A3">
                  <w:pPr>
                    <w:pStyle w:val="58"/>
                    <w:rPr>
                      <w:color w:val="auto"/>
                      <w:highlight w:val="none"/>
                    </w:rPr>
                  </w:pPr>
                  <w:r>
                    <w:rPr>
                      <w:rFonts w:hint="eastAsia"/>
                      <w:color w:val="auto"/>
                      <w:highlight w:val="none"/>
                    </w:rPr>
                    <w:t>江阴市低山生态公益林（秦望山）</w:t>
                  </w:r>
                </w:p>
              </w:tc>
              <w:tc>
                <w:tcPr>
                  <w:tcW w:w="873" w:type="dxa"/>
                  <w:tcBorders>
                    <w:top w:val="single" w:color="auto" w:sz="4" w:space="0"/>
                    <w:left w:val="single" w:color="auto" w:sz="4" w:space="0"/>
                    <w:bottom w:val="single" w:color="auto" w:sz="12" w:space="0"/>
                    <w:right w:val="single" w:color="auto" w:sz="4" w:space="0"/>
                  </w:tcBorders>
                  <w:vAlign w:val="center"/>
                </w:tcPr>
                <w:p w14:paraId="45E5BDE4">
                  <w:pPr>
                    <w:pStyle w:val="58"/>
                    <w:rPr>
                      <w:color w:val="auto"/>
                      <w:highlight w:val="none"/>
                    </w:rPr>
                  </w:pPr>
                  <w:r>
                    <w:rPr>
                      <w:rFonts w:hint="eastAsia"/>
                      <w:color w:val="auto"/>
                      <w:highlight w:val="none"/>
                    </w:rPr>
                    <w:t>西北</w:t>
                  </w:r>
                </w:p>
              </w:tc>
              <w:tc>
                <w:tcPr>
                  <w:tcW w:w="1227" w:type="dxa"/>
                  <w:tcBorders>
                    <w:top w:val="single" w:color="auto" w:sz="4" w:space="0"/>
                    <w:left w:val="single" w:color="auto" w:sz="4" w:space="0"/>
                    <w:bottom w:val="single" w:color="auto" w:sz="12" w:space="0"/>
                    <w:right w:val="single" w:color="auto" w:sz="4" w:space="0"/>
                  </w:tcBorders>
                  <w:vAlign w:val="center"/>
                </w:tcPr>
                <w:p w14:paraId="19B2B0D1">
                  <w:pPr>
                    <w:pStyle w:val="58"/>
                    <w:rPr>
                      <w:color w:val="auto"/>
                      <w:highlight w:val="none"/>
                    </w:rPr>
                  </w:pPr>
                  <w:r>
                    <w:rPr>
                      <w:rFonts w:hint="eastAsia"/>
                      <w:color w:val="auto"/>
                      <w:highlight w:val="none"/>
                    </w:rPr>
                    <w:t>4160</w:t>
                  </w:r>
                </w:p>
              </w:tc>
              <w:tc>
                <w:tcPr>
                  <w:tcW w:w="1140" w:type="dxa"/>
                  <w:tcBorders>
                    <w:top w:val="single" w:color="auto" w:sz="4" w:space="0"/>
                    <w:left w:val="single" w:color="auto" w:sz="4" w:space="0"/>
                    <w:bottom w:val="single" w:color="auto" w:sz="12" w:space="0"/>
                    <w:right w:val="single" w:color="auto" w:sz="4" w:space="0"/>
                  </w:tcBorders>
                  <w:vAlign w:val="center"/>
                </w:tcPr>
                <w:p w14:paraId="7736055C">
                  <w:pPr>
                    <w:pStyle w:val="58"/>
                    <w:rPr>
                      <w:color w:val="auto"/>
                      <w:highlight w:val="none"/>
                    </w:rPr>
                  </w:pPr>
                  <w:r>
                    <w:rPr>
                      <w:color w:val="auto"/>
                      <w:highlight w:val="none"/>
                    </w:rPr>
                    <w:t>/</w:t>
                  </w:r>
                </w:p>
              </w:tc>
              <w:tc>
                <w:tcPr>
                  <w:tcW w:w="2100" w:type="dxa"/>
                  <w:tcBorders>
                    <w:top w:val="single" w:color="auto" w:sz="4" w:space="0"/>
                    <w:left w:val="single" w:color="auto" w:sz="4" w:space="0"/>
                    <w:bottom w:val="single" w:color="auto" w:sz="12" w:space="0"/>
                    <w:right w:val="nil"/>
                  </w:tcBorders>
                  <w:vAlign w:val="center"/>
                </w:tcPr>
                <w:p w14:paraId="6E78868A">
                  <w:pPr>
                    <w:pStyle w:val="58"/>
                    <w:rPr>
                      <w:color w:val="auto"/>
                      <w:highlight w:val="none"/>
                    </w:rPr>
                  </w:pPr>
                  <w:r>
                    <w:rPr>
                      <w:rFonts w:hint="eastAsia"/>
                      <w:color w:val="auto"/>
                      <w:highlight w:val="none"/>
                    </w:rPr>
                    <w:t>生态空间管控区域</w:t>
                  </w:r>
                </w:p>
              </w:tc>
            </w:tr>
          </w:tbl>
          <w:p w14:paraId="285A19C0">
            <w:pPr>
              <w:ind w:left="240" w:right="240" w:firstLine="420"/>
              <w:rPr>
                <w:color w:val="auto"/>
                <w:sz w:val="21"/>
                <w:highlight w:val="none"/>
              </w:rPr>
            </w:pPr>
          </w:p>
          <w:p w14:paraId="239A9426">
            <w:pPr>
              <w:pStyle w:val="2"/>
              <w:rPr>
                <w:color w:val="auto"/>
                <w:highlight w:val="none"/>
              </w:rPr>
            </w:pPr>
          </w:p>
          <w:p w14:paraId="7C322E86">
            <w:pPr>
              <w:rPr>
                <w:color w:val="auto"/>
                <w:highlight w:val="none"/>
              </w:rPr>
            </w:pPr>
          </w:p>
          <w:p w14:paraId="2C2FB7C7">
            <w:pPr>
              <w:pStyle w:val="2"/>
              <w:rPr>
                <w:color w:val="auto"/>
                <w:highlight w:val="none"/>
              </w:rPr>
            </w:pPr>
          </w:p>
          <w:p w14:paraId="3DAA12C1">
            <w:pPr>
              <w:rPr>
                <w:color w:val="auto"/>
                <w:highlight w:val="none"/>
              </w:rPr>
            </w:pPr>
          </w:p>
          <w:p w14:paraId="409E3833">
            <w:pPr>
              <w:pStyle w:val="2"/>
              <w:rPr>
                <w:color w:val="auto"/>
                <w:highlight w:val="none"/>
              </w:rPr>
            </w:pPr>
          </w:p>
          <w:p w14:paraId="10DEDE50">
            <w:pPr>
              <w:rPr>
                <w:color w:val="auto"/>
                <w:highlight w:val="none"/>
              </w:rPr>
            </w:pPr>
          </w:p>
          <w:p w14:paraId="5103581C">
            <w:pPr>
              <w:pStyle w:val="2"/>
              <w:rPr>
                <w:color w:val="auto"/>
                <w:highlight w:val="none"/>
              </w:rPr>
            </w:pPr>
          </w:p>
          <w:p w14:paraId="08581B18">
            <w:pPr>
              <w:rPr>
                <w:color w:val="auto"/>
                <w:highlight w:val="none"/>
              </w:rPr>
            </w:pPr>
          </w:p>
        </w:tc>
      </w:tr>
      <w:tr w14:paraId="6B49A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14:paraId="17DA508E">
            <w:pPr>
              <w:pStyle w:val="58"/>
              <w:jc w:val="left"/>
              <w:rPr>
                <w:color w:val="auto"/>
                <w:highlight w:val="none"/>
              </w:rPr>
            </w:pPr>
            <w:r>
              <w:rPr>
                <w:rFonts w:hint="eastAsia"/>
                <w:color w:val="auto"/>
                <w:highlight w:val="none"/>
              </w:rPr>
              <w:t>污染物排放控制标准</w:t>
            </w:r>
          </w:p>
        </w:tc>
        <w:tc>
          <w:tcPr>
            <w:tcW w:w="8190" w:type="dxa"/>
            <w:vAlign w:val="center"/>
          </w:tcPr>
          <w:p w14:paraId="2D51261D">
            <w:pPr>
              <w:spacing w:before="163" w:beforeLines="50" w:line="360" w:lineRule="auto"/>
              <w:ind w:firstLine="482" w:firstLineChars="200"/>
              <w:rPr>
                <w:b/>
                <w:bCs/>
                <w:color w:val="auto"/>
                <w:highlight w:val="none"/>
              </w:rPr>
            </w:pPr>
            <w:r>
              <w:rPr>
                <w:b/>
                <w:bCs/>
                <w:color w:val="auto"/>
                <w:highlight w:val="none"/>
              </w:rPr>
              <w:t>1</w:t>
            </w:r>
            <w:r>
              <w:rPr>
                <w:rFonts w:hint="eastAsia"/>
                <w:b/>
                <w:bCs/>
                <w:color w:val="auto"/>
                <w:highlight w:val="none"/>
              </w:rPr>
              <w:t>、废气排放标准</w:t>
            </w:r>
          </w:p>
          <w:p w14:paraId="1D2FE7CD">
            <w:pPr>
              <w:pStyle w:val="56"/>
              <w:ind w:firstLine="496"/>
              <w:rPr>
                <w:color w:val="auto"/>
                <w:highlight w:val="none"/>
              </w:rPr>
            </w:pPr>
            <w:r>
              <w:rPr>
                <w:rFonts w:hint="eastAsia"/>
                <w:color w:val="auto"/>
                <w:highlight w:val="none"/>
              </w:rPr>
              <w:t>本项目不涉及废气的产生及排放。</w:t>
            </w:r>
          </w:p>
          <w:p w14:paraId="51DC5EF7">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、废水</w:t>
            </w:r>
          </w:p>
          <w:p w14:paraId="0E340C1D">
            <w:pPr>
              <w:spacing w:line="360" w:lineRule="auto"/>
              <w:ind w:firstLine="496" w:firstLineChars="200"/>
              <w:rPr>
                <w:color w:val="auto"/>
                <w:highlight w:val="none"/>
              </w:rPr>
            </w:pPr>
            <w:r>
              <w:rPr>
                <w:rFonts w:hint="eastAsia"/>
                <w:color w:val="auto"/>
                <w:spacing w:val="4"/>
                <w:szCs w:val="21"/>
                <w:highlight w:val="none"/>
              </w:rPr>
              <w:t>本项目</w:t>
            </w:r>
            <w:r>
              <w:rPr>
                <w:rFonts w:hint="eastAsia"/>
                <w:color w:val="auto"/>
                <w:highlight w:val="none"/>
              </w:rPr>
              <w:t>生活污水经化粪池预处理后接入江阴市月城综合污水处理有限公司集中处理，该污水处理厂处理出水执行DB32/1072-2018《太湖地区城镇污水处理厂及重点工业行业主要水污染物排放限值》表2标准及GB18918-2002《城镇污水处理厂污染物排放标准》表1一级A标准，尾水排入锡澄运河，详见表3-5；清洗废水经废水处理设施处理后达《城市污水再生利用 工业用水水质》（GB/T 19923-2024）表1中洗涤用水的要求后作为回用，详见表3-6；生产废水（浓水）委托江阴市奕水盈科技有限公司处理。江阴市奕水盈科技有限公司外接工业废水入厂控制标准见表3-7，且处理后的废水不外排。</w:t>
            </w:r>
          </w:p>
          <w:p w14:paraId="7DC17AF7">
            <w:pPr>
              <w:spacing w:line="360" w:lineRule="auto"/>
              <w:ind w:firstLine="482"/>
              <w:jc w:val="center"/>
              <w:rPr>
                <w:rFonts w:hint="eastAsia" w:hAnsi="宋体"/>
                <w:b/>
                <w:color w:val="auto"/>
                <w:highlight w:val="none"/>
              </w:rPr>
            </w:pPr>
            <w:r>
              <w:rPr>
                <w:rFonts w:hint="eastAsia" w:hAnsi="宋体"/>
                <w:b/>
                <w:color w:val="auto"/>
                <w:highlight w:val="none"/>
              </w:rPr>
              <w:t>表</w:t>
            </w:r>
            <w:r>
              <w:rPr>
                <w:rFonts w:hint="eastAsia"/>
                <w:b/>
                <w:color w:val="auto"/>
                <w:highlight w:val="none"/>
              </w:rPr>
              <w:t xml:space="preserve">3-5 </w:t>
            </w:r>
            <w:r>
              <w:rPr>
                <w:rFonts w:hint="eastAsia" w:hAnsi="宋体"/>
                <w:b/>
                <w:color w:val="auto"/>
                <w:highlight w:val="none"/>
              </w:rPr>
              <w:t>污水排放标准限值</w:t>
            </w:r>
            <w:r>
              <w:rPr>
                <w:rFonts w:hint="eastAsia"/>
                <w:b/>
                <w:bCs/>
                <w:color w:val="auto"/>
                <w:highlight w:val="none"/>
              </w:rPr>
              <w:t>（单位：mg/L，pH无量纲）</w:t>
            </w:r>
          </w:p>
          <w:tbl>
            <w:tblPr>
              <w:tblStyle w:val="27"/>
              <w:tblW w:w="7823"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0"/>
              <w:gridCol w:w="3020"/>
              <w:gridCol w:w="2153"/>
            </w:tblGrid>
            <w:tr w14:paraId="612EC764">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2650" w:type="dxa"/>
                  <w:tcBorders>
                    <w:top w:val="single" w:color="000000" w:sz="12" w:space="0"/>
                    <w:left w:val="nil"/>
                  </w:tcBorders>
                  <w:vAlign w:val="center"/>
                </w:tcPr>
                <w:p w14:paraId="02974C0C">
                  <w:pPr>
                    <w:pStyle w:val="62"/>
                    <w:rPr>
                      <w:b/>
                      <w:color w:val="auto"/>
                      <w:highlight w:val="none"/>
                    </w:rPr>
                  </w:pPr>
                  <w:r>
                    <w:rPr>
                      <w:rFonts w:hint="eastAsia"/>
                      <w:b/>
                      <w:color w:val="auto"/>
                      <w:highlight w:val="none"/>
                    </w:rPr>
                    <w:t>项目</w:t>
                  </w:r>
                </w:p>
              </w:tc>
              <w:tc>
                <w:tcPr>
                  <w:tcW w:w="3020" w:type="dxa"/>
                  <w:tcBorders>
                    <w:top w:val="single" w:color="000000" w:sz="12" w:space="0"/>
                  </w:tcBorders>
                  <w:vAlign w:val="center"/>
                </w:tcPr>
                <w:p w14:paraId="014D14A5">
                  <w:pPr>
                    <w:pStyle w:val="62"/>
                    <w:rPr>
                      <w:b/>
                      <w:color w:val="auto"/>
                      <w:highlight w:val="none"/>
                    </w:rPr>
                  </w:pPr>
                  <w:r>
                    <w:rPr>
                      <w:rFonts w:hint="eastAsia"/>
                      <w:b/>
                      <w:color w:val="auto"/>
                      <w:highlight w:val="none"/>
                    </w:rPr>
                    <w:t>污水处理厂接管标准（mg/L）</w:t>
                  </w:r>
                </w:p>
              </w:tc>
              <w:tc>
                <w:tcPr>
                  <w:tcW w:w="2153" w:type="dxa"/>
                  <w:tcBorders>
                    <w:top w:val="single" w:color="000000" w:sz="12" w:space="0"/>
                    <w:left w:val="single" w:color="auto" w:sz="4" w:space="0"/>
                    <w:right w:val="nil"/>
                  </w:tcBorders>
                  <w:vAlign w:val="center"/>
                </w:tcPr>
                <w:p w14:paraId="051DBED6">
                  <w:pPr>
                    <w:pStyle w:val="62"/>
                    <w:rPr>
                      <w:b/>
                      <w:color w:val="auto"/>
                      <w:highlight w:val="none"/>
                    </w:rPr>
                  </w:pPr>
                  <w:r>
                    <w:rPr>
                      <w:rFonts w:hint="eastAsia"/>
                      <w:b/>
                      <w:color w:val="auto"/>
                      <w:highlight w:val="none"/>
                    </w:rPr>
                    <w:t>排放标准（mg/L）</w:t>
                  </w:r>
                </w:p>
              </w:tc>
            </w:tr>
            <w:tr w14:paraId="555B127F">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50" w:type="dxa"/>
                  <w:tcBorders>
                    <w:top w:val="single" w:color="000000" w:sz="12" w:space="0"/>
                    <w:left w:val="nil"/>
                  </w:tcBorders>
                  <w:vAlign w:val="center"/>
                </w:tcPr>
                <w:p w14:paraId="5AA4221F">
                  <w:pPr>
                    <w:pStyle w:val="62"/>
                    <w:rPr>
                      <w:color w:val="auto"/>
                      <w:highlight w:val="none"/>
                    </w:rPr>
                  </w:pPr>
                  <w:r>
                    <w:rPr>
                      <w:rFonts w:hint="eastAsia"/>
                      <w:color w:val="auto"/>
                      <w:highlight w:val="none"/>
                    </w:rPr>
                    <w:t>pH</w:t>
                  </w:r>
                </w:p>
              </w:tc>
              <w:tc>
                <w:tcPr>
                  <w:tcW w:w="3020" w:type="dxa"/>
                  <w:tcBorders>
                    <w:top w:val="single" w:color="000000" w:sz="12" w:space="0"/>
                  </w:tcBorders>
                  <w:vAlign w:val="center"/>
                </w:tcPr>
                <w:p w14:paraId="65BDE6A9">
                  <w:pPr>
                    <w:pStyle w:val="62"/>
                    <w:rPr>
                      <w:color w:val="auto"/>
                      <w:highlight w:val="none"/>
                    </w:rPr>
                  </w:pPr>
                  <w:r>
                    <w:rPr>
                      <w:rFonts w:hint="eastAsia"/>
                      <w:color w:val="auto"/>
                      <w:highlight w:val="none"/>
                    </w:rPr>
                    <w:t>6~9</w:t>
                  </w:r>
                </w:p>
              </w:tc>
              <w:tc>
                <w:tcPr>
                  <w:tcW w:w="2153" w:type="dxa"/>
                  <w:tcBorders>
                    <w:top w:val="single" w:color="000000" w:sz="12" w:space="0"/>
                    <w:left w:val="single" w:color="auto" w:sz="4" w:space="0"/>
                    <w:right w:val="nil"/>
                  </w:tcBorders>
                  <w:vAlign w:val="center"/>
                </w:tcPr>
                <w:p w14:paraId="4146D4B6">
                  <w:pPr>
                    <w:pStyle w:val="62"/>
                    <w:rPr>
                      <w:color w:val="auto"/>
                      <w:highlight w:val="none"/>
                    </w:rPr>
                  </w:pPr>
                  <w:r>
                    <w:rPr>
                      <w:rFonts w:hint="eastAsia"/>
                      <w:color w:val="auto"/>
                      <w:highlight w:val="none"/>
                    </w:rPr>
                    <w:t>6~9</w:t>
                  </w:r>
                </w:p>
              </w:tc>
            </w:tr>
            <w:tr w14:paraId="63F037BD">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50" w:type="dxa"/>
                  <w:tcBorders>
                    <w:left w:val="nil"/>
                  </w:tcBorders>
                  <w:vAlign w:val="center"/>
                </w:tcPr>
                <w:p w14:paraId="21E17DD0">
                  <w:pPr>
                    <w:pStyle w:val="62"/>
                    <w:rPr>
                      <w:color w:val="auto"/>
                      <w:highlight w:val="none"/>
                    </w:rPr>
                  </w:pPr>
                  <w:r>
                    <w:rPr>
                      <w:rFonts w:hint="eastAsia"/>
                      <w:color w:val="auto"/>
                      <w:highlight w:val="none"/>
                    </w:rPr>
                    <w:t>COD</w:t>
                  </w:r>
                </w:p>
              </w:tc>
              <w:tc>
                <w:tcPr>
                  <w:tcW w:w="3020" w:type="dxa"/>
                  <w:vAlign w:val="center"/>
                </w:tcPr>
                <w:p w14:paraId="62A448B6">
                  <w:pPr>
                    <w:pStyle w:val="62"/>
                    <w:rPr>
                      <w:color w:val="auto"/>
                      <w:highlight w:val="none"/>
                    </w:rPr>
                  </w:pPr>
                  <w:r>
                    <w:rPr>
                      <w:rFonts w:hint="eastAsia"/>
                      <w:color w:val="auto"/>
                      <w:highlight w:val="none"/>
                    </w:rPr>
                    <w:t>500</w:t>
                  </w:r>
                </w:p>
              </w:tc>
              <w:tc>
                <w:tcPr>
                  <w:tcW w:w="2153" w:type="dxa"/>
                  <w:tcBorders>
                    <w:left w:val="single" w:color="auto" w:sz="4" w:space="0"/>
                    <w:right w:val="nil"/>
                  </w:tcBorders>
                  <w:vAlign w:val="center"/>
                </w:tcPr>
                <w:p w14:paraId="53865824">
                  <w:pPr>
                    <w:pStyle w:val="62"/>
                    <w:rPr>
                      <w:color w:val="auto"/>
                      <w:highlight w:val="none"/>
                    </w:rPr>
                  </w:pPr>
                  <w:r>
                    <w:rPr>
                      <w:rFonts w:hint="eastAsia"/>
                      <w:color w:val="auto"/>
                      <w:highlight w:val="none"/>
                    </w:rPr>
                    <w:t>50</w:t>
                  </w:r>
                </w:p>
              </w:tc>
            </w:tr>
            <w:tr w14:paraId="0152F2B1">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50" w:type="dxa"/>
                  <w:tcBorders>
                    <w:left w:val="nil"/>
                  </w:tcBorders>
                  <w:vAlign w:val="center"/>
                </w:tcPr>
                <w:p w14:paraId="119745A0">
                  <w:pPr>
                    <w:pStyle w:val="62"/>
                    <w:rPr>
                      <w:color w:val="auto"/>
                      <w:highlight w:val="none"/>
                    </w:rPr>
                  </w:pPr>
                  <w:r>
                    <w:rPr>
                      <w:rFonts w:hint="eastAsia"/>
                      <w:color w:val="auto"/>
                      <w:highlight w:val="none"/>
                    </w:rPr>
                    <w:t>SS</w:t>
                  </w:r>
                </w:p>
              </w:tc>
              <w:tc>
                <w:tcPr>
                  <w:tcW w:w="3020" w:type="dxa"/>
                  <w:vAlign w:val="center"/>
                </w:tcPr>
                <w:p w14:paraId="7356B72E">
                  <w:pPr>
                    <w:pStyle w:val="62"/>
                    <w:rPr>
                      <w:color w:val="auto"/>
                      <w:highlight w:val="none"/>
                    </w:rPr>
                  </w:pPr>
                  <w:r>
                    <w:rPr>
                      <w:rFonts w:hint="eastAsia"/>
                      <w:color w:val="auto"/>
                      <w:highlight w:val="none"/>
                    </w:rPr>
                    <w:t>400</w:t>
                  </w:r>
                </w:p>
              </w:tc>
              <w:tc>
                <w:tcPr>
                  <w:tcW w:w="2153" w:type="dxa"/>
                  <w:tcBorders>
                    <w:left w:val="single" w:color="auto" w:sz="4" w:space="0"/>
                    <w:right w:val="nil"/>
                  </w:tcBorders>
                  <w:vAlign w:val="center"/>
                </w:tcPr>
                <w:p w14:paraId="60BE586B">
                  <w:pPr>
                    <w:pStyle w:val="62"/>
                    <w:rPr>
                      <w:color w:val="auto"/>
                      <w:highlight w:val="none"/>
                    </w:rPr>
                  </w:pPr>
                  <w:r>
                    <w:rPr>
                      <w:rFonts w:hint="eastAsia"/>
                      <w:color w:val="auto"/>
                      <w:highlight w:val="none"/>
                    </w:rPr>
                    <w:t>10</w:t>
                  </w:r>
                </w:p>
              </w:tc>
            </w:tr>
            <w:tr w14:paraId="177D1994">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50" w:type="dxa"/>
                  <w:tcBorders>
                    <w:left w:val="nil"/>
                  </w:tcBorders>
                  <w:vAlign w:val="center"/>
                </w:tcPr>
                <w:p w14:paraId="66352067">
                  <w:pPr>
                    <w:pStyle w:val="62"/>
                    <w:rPr>
                      <w:color w:val="auto"/>
                      <w:highlight w:val="none"/>
                    </w:rPr>
                  </w:pPr>
                  <w:r>
                    <w:rPr>
                      <w:rFonts w:hint="eastAsia"/>
                      <w:color w:val="auto"/>
                      <w:highlight w:val="none"/>
                    </w:rPr>
                    <w:t>氨氮</w:t>
                  </w:r>
                </w:p>
              </w:tc>
              <w:tc>
                <w:tcPr>
                  <w:tcW w:w="3020" w:type="dxa"/>
                  <w:vAlign w:val="center"/>
                </w:tcPr>
                <w:p w14:paraId="1F2900CA">
                  <w:pPr>
                    <w:pStyle w:val="62"/>
                    <w:rPr>
                      <w:color w:val="auto"/>
                      <w:highlight w:val="none"/>
                    </w:rPr>
                  </w:pPr>
                  <w:r>
                    <w:rPr>
                      <w:rFonts w:hint="eastAsia"/>
                      <w:color w:val="auto"/>
                      <w:highlight w:val="none"/>
                    </w:rPr>
                    <w:t>45</w:t>
                  </w:r>
                </w:p>
              </w:tc>
              <w:tc>
                <w:tcPr>
                  <w:tcW w:w="2153" w:type="dxa"/>
                  <w:tcBorders>
                    <w:left w:val="single" w:color="auto" w:sz="4" w:space="0"/>
                    <w:right w:val="nil"/>
                  </w:tcBorders>
                  <w:vAlign w:val="center"/>
                </w:tcPr>
                <w:p w14:paraId="030FFD82">
                  <w:pPr>
                    <w:pStyle w:val="62"/>
                    <w:rPr>
                      <w:color w:val="auto"/>
                      <w:highlight w:val="none"/>
                    </w:rPr>
                  </w:pPr>
                  <w:r>
                    <w:rPr>
                      <w:rFonts w:hint="eastAsia"/>
                      <w:color w:val="auto"/>
                      <w:highlight w:val="none"/>
                    </w:rPr>
                    <w:t>4（6）*</w:t>
                  </w:r>
                </w:p>
              </w:tc>
            </w:tr>
            <w:tr w14:paraId="36A4194F">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50" w:type="dxa"/>
                  <w:tcBorders>
                    <w:left w:val="nil"/>
                  </w:tcBorders>
                  <w:vAlign w:val="center"/>
                </w:tcPr>
                <w:p w14:paraId="354B02D5">
                  <w:pPr>
                    <w:pStyle w:val="62"/>
                    <w:rPr>
                      <w:color w:val="auto"/>
                      <w:highlight w:val="none"/>
                    </w:rPr>
                  </w:pPr>
                  <w:r>
                    <w:rPr>
                      <w:rFonts w:hint="eastAsia"/>
                      <w:color w:val="auto"/>
                      <w:highlight w:val="none"/>
                    </w:rPr>
                    <w:t>总磷</w:t>
                  </w:r>
                </w:p>
              </w:tc>
              <w:tc>
                <w:tcPr>
                  <w:tcW w:w="3020" w:type="dxa"/>
                  <w:vAlign w:val="center"/>
                </w:tcPr>
                <w:p w14:paraId="19B87B79">
                  <w:pPr>
                    <w:pStyle w:val="62"/>
                    <w:rPr>
                      <w:color w:val="auto"/>
                      <w:highlight w:val="none"/>
                    </w:rPr>
                  </w:pPr>
                  <w:r>
                    <w:rPr>
                      <w:rFonts w:hint="eastAsia"/>
                      <w:color w:val="auto"/>
                      <w:highlight w:val="none"/>
                    </w:rPr>
                    <w:t>8</w:t>
                  </w:r>
                </w:p>
              </w:tc>
              <w:tc>
                <w:tcPr>
                  <w:tcW w:w="2153" w:type="dxa"/>
                  <w:tcBorders>
                    <w:left w:val="single" w:color="auto" w:sz="4" w:space="0"/>
                    <w:right w:val="nil"/>
                  </w:tcBorders>
                  <w:vAlign w:val="center"/>
                </w:tcPr>
                <w:p w14:paraId="55659F7B">
                  <w:pPr>
                    <w:pStyle w:val="62"/>
                    <w:rPr>
                      <w:color w:val="auto"/>
                      <w:highlight w:val="none"/>
                    </w:rPr>
                  </w:pPr>
                  <w:r>
                    <w:rPr>
                      <w:rFonts w:hint="eastAsia"/>
                      <w:color w:val="auto"/>
                      <w:highlight w:val="none"/>
                    </w:rPr>
                    <w:t>0.5</w:t>
                  </w:r>
                </w:p>
              </w:tc>
            </w:tr>
            <w:tr w14:paraId="443F6CFE">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50" w:type="dxa"/>
                  <w:tcBorders>
                    <w:left w:val="nil"/>
                  </w:tcBorders>
                  <w:vAlign w:val="center"/>
                </w:tcPr>
                <w:p w14:paraId="506BCD8E">
                  <w:pPr>
                    <w:pStyle w:val="62"/>
                    <w:rPr>
                      <w:color w:val="auto"/>
                      <w:highlight w:val="none"/>
                    </w:rPr>
                  </w:pPr>
                  <w:r>
                    <w:rPr>
                      <w:rFonts w:hint="eastAsia"/>
                      <w:color w:val="auto"/>
                      <w:highlight w:val="none"/>
                    </w:rPr>
                    <w:t>总氮</w:t>
                  </w:r>
                </w:p>
              </w:tc>
              <w:tc>
                <w:tcPr>
                  <w:tcW w:w="3020" w:type="dxa"/>
                  <w:vAlign w:val="center"/>
                </w:tcPr>
                <w:p w14:paraId="52B9A2F7">
                  <w:pPr>
                    <w:pStyle w:val="62"/>
                    <w:rPr>
                      <w:color w:val="auto"/>
                      <w:highlight w:val="none"/>
                    </w:rPr>
                  </w:pPr>
                  <w:r>
                    <w:rPr>
                      <w:rFonts w:hint="eastAsia"/>
                      <w:color w:val="auto"/>
                      <w:highlight w:val="none"/>
                    </w:rPr>
                    <w:t>70</w:t>
                  </w:r>
                </w:p>
              </w:tc>
              <w:tc>
                <w:tcPr>
                  <w:tcW w:w="2153" w:type="dxa"/>
                  <w:tcBorders>
                    <w:left w:val="single" w:color="auto" w:sz="4" w:space="0"/>
                    <w:right w:val="nil"/>
                  </w:tcBorders>
                  <w:vAlign w:val="center"/>
                </w:tcPr>
                <w:p w14:paraId="36ADCA87">
                  <w:pPr>
                    <w:pStyle w:val="62"/>
                    <w:rPr>
                      <w:color w:val="auto"/>
                      <w:highlight w:val="none"/>
                    </w:rPr>
                  </w:pPr>
                  <w:r>
                    <w:rPr>
                      <w:rFonts w:hint="eastAsia"/>
                      <w:color w:val="auto"/>
                      <w:highlight w:val="none"/>
                    </w:rPr>
                    <w:t>12（15）*</w:t>
                  </w:r>
                </w:p>
              </w:tc>
            </w:tr>
          </w:tbl>
          <w:p w14:paraId="50451ED8">
            <w:pPr>
              <w:pStyle w:val="56"/>
              <w:ind w:firstLine="438"/>
              <w:rPr>
                <w:b/>
                <w:bCs/>
                <w:color w:val="auto"/>
                <w:sz w:val="21"/>
                <w:highlight w:val="none"/>
              </w:rPr>
            </w:pPr>
            <w:r>
              <w:rPr>
                <w:rFonts w:hint="eastAsia"/>
                <w:b/>
                <w:bCs/>
                <w:color w:val="auto"/>
                <w:sz w:val="21"/>
                <w:highlight w:val="none"/>
              </w:rPr>
              <w:t>注：*括号外数值为水温＞12℃时的控制指标，括号内数值为水温≤12℃时的控制指标。</w:t>
            </w:r>
          </w:p>
          <w:p w14:paraId="06BD24C1">
            <w:pPr>
              <w:pStyle w:val="56"/>
              <w:ind w:firstLine="498"/>
              <w:rPr>
                <w:b/>
                <w:bCs/>
                <w:color w:val="auto"/>
                <w:highlight w:val="none"/>
              </w:rPr>
            </w:pPr>
            <w:r>
              <w:rPr>
                <w:rFonts w:hint="eastAsia"/>
                <w:b/>
                <w:bCs/>
                <w:color w:val="auto"/>
                <w:highlight w:val="none"/>
              </w:rPr>
              <w:t>表3-6 再生水用作工业用水水源水质标准（洗涤用水）（mg/l）</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118"/>
              <w:gridCol w:w="1118"/>
              <w:gridCol w:w="1126"/>
              <w:gridCol w:w="1119"/>
              <w:gridCol w:w="1122"/>
              <w:gridCol w:w="1118"/>
            </w:tblGrid>
            <w:tr w14:paraId="51EC59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3" w:type="pct"/>
                  <w:tcBorders>
                    <w:top w:val="single" w:color="auto" w:sz="12" w:space="0"/>
                    <w:bottom w:val="single" w:color="auto" w:sz="12" w:space="0"/>
                  </w:tcBorders>
                  <w:vAlign w:val="center"/>
                </w:tcPr>
                <w:p w14:paraId="2137C340">
                  <w:pPr>
                    <w:pStyle w:val="62"/>
                    <w:rPr>
                      <w:color w:val="auto"/>
                      <w:highlight w:val="none"/>
                    </w:rPr>
                  </w:pPr>
                  <w:r>
                    <w:rPr>
                      <w:rFonts w:hint="eastAsia"/>
                      <w:color w:val="auto"/>
                      <w:highlight w:val="none"/>
                    </w:rPr>
                    <w:t>控制项目</w:t>
                  </w:r>
                </w:p>
              </w:tc>
              <w:tc>
                <w:tcPr>
                  <w:tcW w:w="713" w:type="pct"/>
                  <w:tcBorders>
                    <w:top w:val="single" w:color="auto" w:sz="12" w:space="0"/>
                    <w:bottom w:val="single" w:color="auto" w:sz="12" w:space="0"/>
                  </w:tcBorders>
                  <w:vAlign w:val="center"/>
                </w:tcPr>
                <w:p w14:paraId="734A3E7F">
                  <w:pPr>
                    <w:pStyle w:val="62"/>
                    <w:rPr>
                      <w:color w:val="auto"/>
                      <w:highlight w:val="none"/>
                    </w:rPr>
                  </w:pPr>
                  <w:r>
                    <w:rPr>
                      <w:rFonts w:hint="eastAsia"/>
                      <w:color w:val="auto"/>
                      <w:highlight w:val="none"/>
                    </w:rPr>
                    <w:t>化学需氧量</w:t>
                  </w:r>
                </w:p>
              </w:tc>
              <w:tc>
                <w:tcPr>
                  <w:tcW w:w="713" w:type="pct"/>
                  <w:tcBorders>
                    <w:top w:val="single" w:color="auto" w:sz="12" w:space="0"/>
                    <w:bottom w:val="single" w:color="auto" w:sz="12" w:space="0"/>
                  </w:tcBorders>
                  <w:vAlign w:val="center"/>
                </w:tcPr>
                <w:p w14:paraId="024C7C96">
                  <w:pPr>
                    <w:pStyle w:val="62"/>
                    <w:rPr>
                      <w:color w:val="auto"/>
                      <w:highlight w:val="none"/>
                    </w:rPr>
                  </w:pPr>
                  <w:r>
                    <w:rPr>
                      <w:rFonts w:hint="eastAsia"/>
                      <w:color w:val="auto"/>
                      <w:highlight w:val="none"/>
                    </w:rPr>
                    <w:t>生化需氧量</w:t>
                  </w:r>
                </w:p>
              </w:tc>
              <w:tc>
                <w:tcPr>
                  <w:tcW w:w="718" w:type="pct"/>
                  <w:tcBorders>
                    <w:top w:val="single" w:color="auto" w:sz="12" w:space="0"/>
                    <w:bottom w:val="single" w:color="auto" w:sz="12" w:space="0"/>
                  </w:tcBorders>
                  <w:vAlign w:val="center"/>
                </w:tcPr>
                <w:p w14:paraId="4B543014">
                  <w:pPr>
                    <w:pStyle w:val="62"/>
                    <w:rPr>
                      <w:color w:val="auto"/>
                      <w:highlight w:val="none"/>
                    </w:rPr>
                  </w:pPr>
                  <w:r>
                    <w:rPr>
                      <w:rFonts w:hint="eastAsia"/>
                      <w:color w:val="auto"/>
                      <w:highlight w:val="none"/>
                    </w:rPr>
                    <w:t>溶解性总固体</w:t>
                  </w:r>
                </w:p>
              </w:tc>
              <w:tc>
                <w:tcPr>
                  <w:tcW w:w="714" w:type="pct"/>
                  <w:tcBorders>
                    <w:top w:val="single" w:color="auto" w:sz="12" w:space="0"/>
                    <w:bottom w:val="single" w:color="auto" w:sz="12" w:space="0"/>
                  </w:tcBorders>
                  <w:vAlign w:val="center"/>
                </w:tcPr>
                <w:p w14:paraId="77C541D6">
                  <w:pPr>
                    <w:pStyle w:val="62"/>
                    <w:rPr>
                      <w:color w:val="auto"/>
                      <w:highlight w:val="none"/>
                    </w:rPr>
                  </w:pPr>
                  <w:r>
                    <w:rPr>
                      <w:rFonts w:hint="eastAsia"/>
                      <w:color w:val="auto"/>
                      <w:highlight w:val="none"/>
                    </w:rPr>
                    <w:t>SS</w:t>
                  </w:r>
                </w:p>
              </w:tc>
              <w:tc>
                <w:tcPr>
                  <w:tcW w:w="716" w:type="pct"/>
                  <w:tcBorders>
                    <w:top w:val="single" w:color="auto" w:sz="12" w:space="0"/>
                    <w:bottom w:val="single" w:color="auto" w:sz="12" w:space="0"/>
                  </w:tcBorders>
                  <w:vAlign w:val="center"/>
                </w:tcPr>
                <w:p w14:paraId="657BA607">
                  <w:pPr>
                    <w:pStyle w:val="62"/>
                    <w:rPr>
                      <w:color w:val="auto"/>
                      <w:highlight w:val="none"/>
                    </w:rPr>
                  </w:pPr>
                  <w:r>
                    <w:rPr>
                      <w:rFonts w:hint="eastAsia"/>
                      <w:color w:val="auto"/>
                      <w:highlight w:val="none"/>
                    </w:rPr>
                    <w:t>pH</w:t>
                  </w:r>
                </w:p>
              </w:tc>
              <w:tc>
                <w:tcPr>
                  <w:tcW w:w="713" w:type="pct"/>
                  <w:tcBorders>
                    <w:top w:val="single" w:color="auto" w:sz="12" w:space="0"/>
                    <w:bottom w:val="single" w:color="auto" w:sz="12" w:space="0"/>
                  </w:tcBorders>
                  <w:vAlign w:val="center"/>
                </w:tcPr>
                <w:p w14:paraId="539D3AFA">
                  <w:pPr>
                    <w:pStyle w:val="62"/>
                    <w:rPr>
                      <w:color w:val="auto"/>
                      <w:highlight w:val="none"/>
                    </w:rPr>
                  </w:pPr>
                  <w:r>
                    <w:rPr>
                      <w:rFonts w:hint="eastAsia"/>
                      <w:color w:val="auto"/>
                      <w:highlight w:val="none"/>
                    </w:rPr>
                    <w:t>色度</w:t>
                  </w:r>
                </w:p>
              </w:tc>
            </w:tr>
            <w:tr w14:paraId="083F62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3" w:type="pct"/>
                  <w:tcBorders>
                    <w:top w:val="single" w:color="auto" w:sz="12" w:space="0"/>
                  </w:tcBorders>
                  <w:vAlign w:val="center"/>
                </w:tcPr>
                <w:p w14:paraId="73416E32">
                  <w:pPr>
                    <w:pStyle w:val="62"/>
                    <w:rPr>
                      <w:color w:val="auto"/>
                      <w:highlight w:val="none"/>
                    </w:rPr>
                  </w:pPr>
                  <w:r>
                    <w:rPr>
                      <w:rFonts w:hint="eastAsia"/>
                      <w:color w:val="auto"/>
                      <w:highlight w:val="none"/>
                    </w:rPr>
                    <w:t>标准值</w:t>
                  </w:r>
                </w:p>
              </w:tc>
              <w:tc>
                <w:tcPr>
                  <w:tcW w:w="713" w:type="pct"/>
                  <w:tcBorders>
                    <w:top w:val="single" w:color="auto" w:sz="12" w:space="0"/>
                  </w:tcBorders>
                  <w:vAlign w:val="center"/>
                </w:tcPr>
                <w:p w14:paraId="302D635C">
                  <w:pPr>
                    <w:pStyle w:val="62"/>
                    <w:rPr>
                      <w:color w:val="auto"/>
                      <w:highlight w:val="none"/>
                    </w:rPr>
                  </w:pPr>
                  <w:r>
                    <w:rPr>
                      <w:rFonts w:hint="eastAsia"/>
                      <w:color w:val="auto"/>
                      <w:highlight w:val="none"/>
                    </w:rPr>
                    <w:t>50</w:t>
                  </w:r>
                </w:p>
              </w:tc>
              <w:tc>
                <w:tcPr>
                  <w:tcW w:w="713" w:type="pct"/>
                  <w:tcBorders>
                    <w:top w:val="single" w:color="auto" w:sz="12" w:space="0"/>
                  </w:tcBorders>
                  <w:vAlign w:val="center"/>
                </w:tcPr>
                <w:p w14:paraId="5849892D">
                  <w:pPr>
                    <w:pStyle w:val="62"/>
                    <w:rPr>
                      <w:color w:val="auto"/>
                      <w:highlight w:val="none"/>
                    </w:rPr>
                  </w:pPr>
                  <w:r>
                    <w:rPr>
                      <w:rFonts w:hint="eastAsia"/>
                      <w:color w:val="auto"/>
                      <w:highlight w:val="none"/>
                    </w:rPr>
                    <w:t>10</w:t>
                  </w:r>
                </w:p>
              </w:tc>
              <w:tc>
                <w:tcPr>
                  <w:tcW w:w="718" w:type="pct"/>
                  <w:tcBorders>
                    <w:top w:val="single" w:color="auto" w:sz="12" w:space="0"/>
                  </w:tcBorders>
                  <w:vAlign w:val="center"/>
                </w:tcPr>
                <w:p w14:paraId="18206B80">
                  <w:pPr>
                    <w:pStyle w:val="62"/>
                    <w:rPr>
                      <w:color w:val="auto"/>
                      <w:highlight w:val="none"/>
                    </w:rPr>
                  </w:pPr>
                  <w:r>
                    <w:rPr>
                      <w:rFonts w:hint="eastAsia"/>
                      <w:color w:val="auto"/>
                      <w:highlight w:val="none"/>
                    </w:rPr>
                    <w:t>1500</w:t>
                  </w:r>
                </w:p>
              </w:tc>
              <w:tc>
                <w:tcPr>
                  <w:tcW w:w="714" w:type="pct"/>
                  <w:tcBorders>
                    <w:top w:val="single" w:color="auto" w:sz="12" w:space="0"/>
                  </w:tcBorders>
                  <w:vAlign w:val="center"/>
                </w:tcPr>
                <w:p w14:paraId="2EC8D369">
                  <w:pPr>
                    <w:pStyle w:val="62"/>
                    <w:rPr>
                      <w:color w:val="auto"/>
                      <w:highlight w:val="none"/>
                    </w:rPr>
                  </w:pPr>
                  <w:r>
                    <w:rPr>
                      <w:rFonts w:hint="eastAsia"/>
                      <w:color w:val="auto"/>
                      <w:highlight w:val="none"/>
                    </w:rPr>
                    <w:t>-</w:t>
                  </w:r>
                </w:p>
              </w:tc>
              <w:tc>
                <w:tcPr>
                  <w:tcW w:w="716" w:type="pct"/>
                  <w:tcBorders>
                    <w:top w:val="single" w:color="auto" w:sz="12" w:space="0"/>
                  </w:tcBorders>
                  <w:vAlign w:val="center"/>
                </w:tcPr>
                <w:p w14:paraId="696328AD">
                  <w:pPr>
                    <w:pStyle w:val="62"/>
                    <w:rPr>
                      <w:color w:val="auto"/>
                      <w:highlight w:val="none"/>
                    </w:rPr>
                  </w:pPr>
                  <w:r>
                    <w:rPr>
                      <w:rFonts w:hint="eastAsia"/>
                      <w:color w:val="auto"/>
                      <w:highlight w:val="none"/>
                    </w:rPr>
                    <w:t>6.0-9.0</w:t>
                  </w:r>
                </w:p>
              </w:tc>
              <w:tc>
                <w:tcPr>
                  <w:tcW w:w="713" w:type="pct"/>
                  <w:tcBorders>
                    <w:top w:val="single" w:color="auto" w:sz="12" w:space="0"/>
                  </w:tcBorders>
                  <w:vAlign w:val="center"/>
                </w:tcPr>
                <w:p w14:paraId="1C1C6445">
                  <w:pPr>
                    <w:pStyle w:val="62"/>
                    <w:rPr>
                      <w:color w:val="auto"/>
                      <w:highlight w:val="none"/>
                    </w:rPr>
                  </w:pPr>
                  <w:r>
                    <w:rPr>
                      <w:rFonts w:hint="eastAsia"/>
                      <w:color w:val="auto"/>
                      <w:highlight w:val="none"/>
                    </w:rPr>
                    <w:t>20</w:t>
                  </w:r>
                </w:p>
              </w:tc>
            </w:tr>
          </w:tbl>
          <w:p w14:paraId="02AD6594">
            <w:pPr>
              <w:snapToGrid w:val="0"/>
              <w:spacing w:line="360" w:lineRule="auto"/>
              <w:jc w:val="center"/>
              <w:rPr>
                <w:b/>
                <w:bCs/>
                <w:color w:val="auto"/>
                <w:highlight w:val="none"/>
              </w:rPr>
            </w:pPr>
            <w:r>
              <w:rPr>
                <w:b/>
                <w:bCs/>
                <w:color w:val="auto"/>
                <w:highlight w:val="none"/>
              </w:rPr>
              <w:t>表3-7 江阴市奕水盈科技有限公司污水接管标准和排放标准（单位：mg/L，pH无量纲）</w:t>
            </w:r>
          </w:p>
          <w:tbl>
            <w:tblPr>
              <w:tblStyle w:val="27"/>
              <w:tblW w:w="7823"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0"/>
              <w:gridCol w:w="3020"/>
              <w:gridCol w:w="2153"/>
            </w:tblGrid>
            <w:tr w14:paraId="06C05C38">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2650" w:type="dxa"/>
                  <w:tcBorders>
                    <w:top w:val="single" w:color="000000" w:sz="12" w:space="0"/>
                    <w:left w:val="nil"/>
                  </w:tcBorders>
                  <w:vAlign w:val="center"/>
                </w:tcPr>
                <w:p w14:paraId="511E7F6F">
                  <w:pPr>
                    <w:pStyle w:val="62"/>
                    <w:rPr>
                      <w:b/>
                      <w:color w:val="auto"/>
                      <w:highlight w:val="none"/>
                    </w:rPr>
                  </w:pPr>
                  <w:r>
                    <w:rPr>
                      <w:rFonts w:hint="eastAsia"/>
                      <w:b/>
                      <w:color w:val="auto"/>
                      <w:highlight w:val="none"/>
                    </w:rPr>
                    <w:t>项目</w:t>
                  </w:r>
                </w:p>
              </w:tc>
              <w:tc>
                <w:tcPr>
                  <w:tcW w:w="3020" w:type="dxa"/>
                  <w:tcBorders>
                    <w:top w:val="single" w:color="000000" w:sz="12" w:space="0"/>
                  </w:tcBorders>
                  <w:vAlign w:val="center"/>
                </w:tcPr>
                <w:p w14:paraId="1A0BA6A9">
                  <w:pPr>
                    <w:pStyle w:val="62"/>
                    <w:rPr>
                      <w:b/>
                      <w:color w:val="auto"/>
                      <w:highlight w:val="none"/>
                    </w:rPr>
                  </w:pPr>
                  <w:r>
                    <w:rPr>
                      <w:rFonts w:hint="eastAsia"/>
                      <w:b/>
                      <w:color w:val="auto"/>
                      <w:highlight w:val="none"/>
                    </w:rPr>
                    <w:t>污水处理厂接管标准（mg/L）</w:t>
                  </w:r>
                </w:p>
              </w:tc>
              <w:tc>
                <w:tcPr>
                  <w:tcW w:w="2153" w:type="dxa"/>
                  <w:tcBorders>
                    <w:top w:val="single" w:color="000000" w:sz="12" w:space="0"/>
                    <w:left w:val="single" w:color="auto" w:sz="4" w:space="0"/>
                    <w:right w:val="nil"/>
                  </w:tcBorders>
                  <w:vAlign w:val="center"/>
                </w:tcPr>
                <w:p w14:paraId="4C056A00">
                  <w:pPr>
                    <w:pStyle w:val="62"/>
                    <w:rPr>
                      <w:b/>
                      <w:color w:val="auto"/>
                      <w:highlight w:val="none"/>
                    </w:rPr>
                  </w:pPr>
                  <w:r>
                    <w:rPr>
                      <w:rFonts w:hint="eastAsia"/>
                      <w:b/>
                      <w:color w:val="auto"/>
                      <w:highlight w:val="none"/>
                    </w:rPr>
                    <w:t>排放标准（mg/L）</w:t>
                  </w:r>
                </w:p>
              </w:tc>
            </w:tr>
            <w:tr w14:paraId="37D6FF12">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50" w:type="dxa"/>
                  <w:tcBorders>
                    <w:top w:val="single" w:color="000000" w:sz="12" w:space="0"/>
                    <w:left w:val="nil"/>
                  </w:tcBorders>
                  <w:vAlign w:val="center"/>
                </w:tcPr>
                <w:p w14:paraId="1C9E7822">
                  <w:pPr>
                    <w:pStyle w:val="62"/>
                    <w:rPr>
                      <w:color w:val="auto"/>
                      <w:highlight w:val="none"/>
                    </w:rPr>
                  </w:pPr>
                  <w:r>
                    <w:rPr>
                      <w:rFonts w:hint="eastAsia"/>
                      <w:color w:val="auto"/>
                      <w:highlight w:val="none"/>
                    </w:rPr>
                    <w:t>pH</w:t>
                  </w:r>
                </w:p>
              </w:tc>
              <w:tc>
                <w:tcPr>
                  <w:tcW w:w="3020" w:type="dxa"/>
                  <w:tcBorders>
                    <w:top w:val="single" w:color="000000" w:sz="12" w:space="0"/>
                  </w:tcBorders>
                  <w:vAlign w:val="center"/>
                </w:tcPr>
                <w:p w14:paraId="06737524">
                  <w:pPr>
                    <w:pStyle w:val="62"/>
                    <w:rPr>
                      <w:color w:val="auto"/>
                      <w:highlight w:val="none"/>
                    </w:rPr>
                  </w:pPr>
                  <w:r>
                    <w:rPr>
                      <w:rFonts w:hint="eastAsia"/>
                      <w:color w:val="auto"/>
                      <w:highlight w:val="none"/>
                    </w:rPr>
                    <w:t>6~9</w:t>
                  </w:r>
                </w:p>
              </w:tc>
              <w:tc>
                <w:tcPr>
                  <w:tcW w:w="2153" w:type="dxa"/>
                  <w:vMerge w:val="restart"/>
                  <w:tcBorders>
                    <w:top w:val="single" w:color="000000" w:sz="12" w:space="0"/>
                    <w:left w:val="single" w:color="auto" w:sz="4" w:space="0"/>
                    <w:right w:val="nil"/>
                  </w:tcBorders>
                  <w:vAlign w:val="center"/>
                </w:tcPr>
                <w:p w14:paraId="16618FD1">
                  <w:pPr>
                    <w:pStyle w:val="62"/>
                    <w:rPr>
                      <w:color w:val="auto"/>
                      <w:highlight w:val="none"/>
                    </w:rPr>
                  </w:pPr>
                  <w:r>
                    <w:rPr>
                      <w:color w:val="auto"/>
                      <w:highlight w:val="none"/>
                    </w:rPr>
                    <w:t>处理后回用于区域管网，不外排</w:t>
                  </w:r>
                </w:p>
              </w:tc>
            </w:tr>
            <w:tr w14:paraId="6B116BA0">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50" w:type="dxa"/>
                  <w:tcBorders>
                    <w:left w:val="nil"/>
                  </w:tcBorders>
                  <w:vAlign w:val="center"/>
                </w:tcPr>
                <w:p w14:paraId="4E042D94">
                  <w:pPr>
                    <w:pStyle w:val="62"/>
                    <w:rPr>
                      <w:color w:val="auto"/>
                      <w:highlight w:val="none"/>
                    </w:rPr>
                  </w:pPr>
                  <w:r>
                    <w:rPr>
                      <w:rFonts w:hint="eastAsia"/>
                      <w:color w:val="auto"/>
                      <w:highlight w:val="none"/>
                    </w:rPr>
                    <w:t>COD</w:t>
                  </w:r>
                </w:p>
              </w:tc>
              <w:tc>
                <w:tcPr>
                  <w:tcW w:w="3020" w:type="dxa"/>
                  <w:vAlign w:val="center"/>
                </w:tcPr>
                <w:p w14:paraId="11557104">
                  <w:pPr>
                    <w:pStyle w:val="62"/>
                    <w:rPr>
                      <w:color w:val="auto"/>
                      <w:highlight w:val="none"/>
                    </w:rPr>
                  </w:pPr>
                  <w:r>
                    <w:rPr>
                      <w:rFonts w:hint="eastAsia"/>
                      <w:color w:val="auto"/>
                      <w:highlight w:val="none"/>
                    </w:rPr>
                    <w:t>≤3500</w:t>
                  </w:r>
                </w:p>
              </w:tc>
              <w:tc>
                <w:tcPr>
                  <w:tcW w:w="2153" w:type="dxa"/>
                  <w:vMerge w:val="continue"/>
                  <w:tcBorders>
                    <w:left w:val="single" w:color="auto" w:sz="4" w:space="0"/>
                    <w:right w:val="nil"/>
                  </w:tcBorders>
                  <w:vAlign w:val="center"/>
                </w:tcPr>
                <w:p w14:paraId="15DD6FA9">
                  <w:pPr>
                    <w:pStyle w:val="62"/>
                    <w:rPr>
                      <w:color w:val="auto"/>
                      <w:highlight w:val="none"/>
                    </w:rPr>
                  </w:pPr>
                </w:p>
              </w:tc>
            </w:tr>
            <w:tr w14:paraId="2935331A">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650" w:type="dxa"/>
                  <w:tcBorders>
                    <w:left w:val="nil"/>
                  </w:tcBorders>
                  <w:vAlign w:val="center"/>
                </w:tcPr>
                <w:p w14:paraId="165AD309">
                  <w:pPr>
                    <w:pStyle w:val="62"/>
                    <w:rPr>
                      <w:color w:val="auto"/>
                      <w:highlight w:val="none"/>
                    </w:rPr>
                  </w:pPr>
                  <w:r>
                    <w:rPr>
                      <w:rFonts w:hint="eastAsia"/>
                      <w:color w:val="auto"/>
                      <w:highlight w:val="none"/>
                    </w:rPr>
                    <w:t>悬浮物</w:t>
                  </w:r>
                </w:p>
              </w:tc>
              <w:tc>
                <w:tcPr>
                  <w:tcW w:w="3020" w:type="dxa"/>
                  <w:vAlign w:val="center"/>
                </w:tcPr>
                <w:p w14:paraId="355EC820">
                  <w:pPr>
                    <w:pStyle w:val="62"/>
                    <w:rPr>
                      <w:color w:val="auto"/>
                      <w:highlight w:val="none"/>
                    </w:rPr>
                  </w:pPr>
                  <w:r>
                    <w:rPr>
                      <w:rFonts w:hint="eastAsia"/>
                      <w:color w:val="auto"/>
                      <w:highlight w:val="none"/>
                    </w:rPr>
                    <w:t>≤400</w:t>
                  </w:r>
                </w:p>
              </w:tc>
              <w:tc>
                <w:tcPr>
                  <w:tcW w:w="2153" w:type="dxa"/>
                  <w:vMerge w:val="continue"/>
                  <w:tcBorders>
                    <w:left w:val="single" w:color="auto" w:sz="4" w:space="0"/>
                    <w:right w:val="nil"/>
                  </w:tcBorders>
                  <w:vAlign w:val="center"/>
                </w:tcPr>
                <w:p w14:paraId="103054E3">
                  <w:pPr>
                    <w:pStyle w:val="62"/>
                    <w:rPr>
                      <w:color w:val="auto"/>
                      <w:highlight w:val="none"/>
                    </w:rPr>
                  </w:pPr>
                </w:p>
              </w:tc>
            </w:tr>
          </w:tbl>
          <w:p w14:paraId="78F62D7B">
            <w:pPr>
              <w:snapToGrid w:val="0"/>
              <w:spacing w:line="360" w:lineRule="auto"/>
              <w:ind w:firstLine="482" w:firstLineChars="200"/>
              <w:rPr>
                <w:b/>
                <w:bCs/>
                <w:color w:val="auto"/>
                <w:highlight w:val="none"/>
              </w:rPr>
            </w:pPr>
            <w:r>
              <w:rPr>
                <w:b/>
                <w:bCs/>
                <w:color w:val="auto"/>
                <w:highlight w:val="none"/>
              </w:rPr>
              <w:t>3</w:t>
            </w:r>
            <w:r>
              <w:rPr>
                <w:rFonts w:hint="eastAsia"/>
                <w:b/>
                <w:bCs/>
                <w:color w:val="auto"/>
                <w:highlight w:val="none"/>
              </w:rPr>
              <w:t>、厂界噪声</w:t>
            </w:r>
          </w:p>
          <w:p w14:paraId="173BBB00">
            <w:pPr>
              <w:pStyle w:val="56"/>
              <w:ind w:firstLine="496"/>
              <w:rPr>
                <w:color w:val="auto"/>
                <w:highlight w:val="none"/>
              </w:rPr>
            </w:pPr>
            <w:r>
              <w:rPr>
                <w:rFonts w:hint="eastAsia"/>
                <w:color w:val="auto"/>
                <w:highlight w:val="none"/>
              </w:rPr>
              <w:t>根据市政府办公室关于印发《江阴市声环境功能区划分调整方案》的通知（澄政办发</w:t>
            </w:r>
            <w:r>
              <w:rPr>
                <w:color w:val="auto"/>
                <w:highlight w:val="none"/>
              </w:rPr>
              <w:t>[2020]71</w:t>
            </w:r>
            <w:r>
              <w:rPr>
                <w:rFonts w:hint="eastAsia"/>
                <w:color w:val="auto"/>
                <w:highlight w:val="none"/>
              </w:rPr>
              <w:t>号），本项目位于</w:t>
            </w:r>
            <w:r>
              <w:rPr>
                <w:color w:val="auto"/>
                <w:highlight w:val="none"/>
              </w:rPr>
              <w:t>3</w:t>
            </w:r>
            <w:r>
              <w:rPr>
                <w:rFonts w:hint="eastAsia"/>
                <w:color w:val="auto"/>
                <w:highlight w:val="none"/>
              </w:rPr>
              <w:t>类声环境功能区。厂界噪声执行</w:t>
            </w:r>
            <w:r>
              <w:rPr>
                <w:color w:val="auto"/>
                <w:highlight w:val="none"/>
              </w:rPr>
              <w:t>GB12348-2008</w:t>
            </w:r>
            <w:r>
              <w:rPr>
                <w:rFonts w:hint="eastAsia"/>
                <w:color w:val="auto"/>
                <w:highlight w:val="none"/>
              </w:rPr>
              <w:t>《工业企业厂界环境噪声排放标准》表</w:t>
            </w:r>
            <w:r>
              <w:rPr>
                <w:color w:val="auto"/>
                <w:highlight w:val="none"/>
              </w:rPr>
              <w:t>1</w:t>
            </w:r>
            <w:r>
              <w:rPr>
                <w:rFonts w:hint="eastAsia"/>
                <w:color w:val="auto"/>
                <w:highlight w:val="none"/>
              </w:rPr>
              <w:t>中</w:t>
            </w:r>
            <w:r>
              <w:rPr>
                <w:color w:val="auto"/>
                <w:highlight w:val="none"/>
              </w:rPr>
              <w:t>3</w:t>
            </w:r>
            <w:r>
              <w:rPr>
                <w:rFonts w:hint="eastAsia"/>
                <w:color w:val="auto"/>
                <w:highlight w:val="none"/>
              </w:rPr>
              <w:t>类标准，即昼间（</w:t>
            </w:r>
            <w:r>
              <w:rPr>
                <w:color w:val="auto"/>
                <w:highlight w:val="none"/>
              </w:rPr>
              <w:t>6:00-22:00</w:t>
            </w:r>
            <w:r>
              <w:rPr>
                <w:rFonts w:hint="eastAsia"/>
                <w:color w:val="auto"/>
                <w:highlight w:val="none"/>
              </w:rPr>
              <w:t>）≤65dB(A)，夜间（</w:t>
            </w:r>
            <w:r>
              <w:rPr>
                <w:color w:val="auto"/>
                <w:highlight w:val="none"/>
              </w:rPr>
              <w:t>22:00-6:00</w:t>
            </w:r>
            <w:r>
              <w:rPr>
                <w:rFonts w:hint="eastAsia"/>
                <w:color w:val="auto"/>
                <w:highlight w:val="none"/>
              </w:rPr>
              <w:t>）≤55dB(A)。</w:t>
            </w:r>
          </w:p>
          <w:p w14:paraId="6981B774">
            <w:pPr>
              <w:snapToGrid w:val="0"/>
              <w:spacing w:line="360" w:lineRule="auto"/>
              <w:ind w:firstLine="482" w:firstLineChars="200"/>
              <w:rPr>
                <w:b/>
                <w:color w:val="auto"/>
                <w:highlight w:val="none"/>
              </w:rPr>
            </w:pPr>
            <w:r>
              <w:rPr>
                <w:b/>
                <w:color w:val="auto"/>
                <w:highlight w:val="none"/>
              </w:rPr>
              <w:t>4</w:t>
            </w:r>
            <w:r>
              <w:rPr>
                <w:rFonts w:hint="eastAsia"/>
                <w:b/>
                <w:color w:val="auto"/>
                <w:highlight w:val="none"/>
              </w:rPr>
              <w:t>、固废贮存标准</w:t>
            </w:r>
          </w:p>
          <w:p w14:paraId="3067CFC8">
            <w:pPr>
              <w:adjustRightInd w:val="0"/>
              <w:snapToGrid w:val="0"/>
              <w:spacing w:line="360" w:lineRule="auto"/>
              <w:ind w:firstLine="480" w:firstLineChars="200"/>
              <w:rPr>
                <w:color w:val="auto"/>
                <w:highlight w:val="none"/>
              </w:rPr>
            </w:pPr>
            <w:r>
              <w:rPr>
                <w:rFonts w:hint="eastAsia"/>
                <w:color w:val="auto"/>
                <w:highlight w:val="none"/>
              </w:rPr>
              <w:t>本项目一般工业固废执行《一般工业固体废物贮存和填埋污染控制标准》（</w:t>
            </w:r>
            <w:r>
              <w:rPr>
                <w:color w:val="auto"/>
                <w:highlight w:val="none"/>
              </w:rPr>
              <w:t>GB18599-2020</w:t>
            </w:r>
            <w:r>
              <w:rPr>
                <w:rFonts w:hint="eastAsia"/>
                <w:color w:val="auto"/>
                <w:highlight w:val="none"/>
              </w:rPr>
              <w:t>）、《省生态环境厅关于进一步完善一般工业固体废物环境管理的通知》（苏环办【</w:t>
            </w:r>
            <w:r>
              <w:rPr>
                <w:color w:val="auto"/>
                <w:highlight w:val="none"/>
              </w:rPr>
              <w:t>2023</w:t>
            </w:r>
            <w:r>
              <w:rPr>
                <w:rFonts w:hint="eastAsia"/>
                <w:color w:val="auto"/>
                <w:highlight w:val="none"/>
              </w:rPr>
              <w:t>】</w:t>
            </w:r>
            <w:r>
              <w:rPr>
                <w:color w:val="auto"/>
                <w:highlight w:val="none"/>
              </w:rPr>
              <w:t>327</w:t>
            </w:r>
            <w:r>
              <w:rPr>
                <w:rFonts w:hint="eastAsia"/>
                <w:color w:val="auto"/>
                <w:highlight w:val="none"/>
              </w:rPr>
              <w:t>号）要求。危险废物执行《危险废物贮存污染控制标准》（</w:t>
            </w:r>
            <w:r>
              <w:rPr>
                <w:color w:val="auto"/>
                <w:highlight w:val="none"/>
              </w:rPr>
              <w:t>GB18597-2023</w:t>
            </w:r>
            <w:r>
              <w:rPr>
                <w:rFonts w:hint="eastAsia"/>
                <w:color w:val="auto"/>
                <w:highlight w:val="none"/>
              </w:rPr>
              <w:t>）、《危险废物收集储存运输技术规范》（</w:t>
            </w:r>
            <w:r>
              <w:rPr>
                <w:color w:val="auto"/>
                <w:highlight w:val="none"/>
              </w:rPr>
              <w:t>HJ2025-2012</w:t>
            </w:r>
            <w:r>
              <w:rPr>
                <w:rFonts w:hint="eastAsia"/>
                <w:color w:val="auto"/>
                <w:highlight w:val="none"/>
              </w:rPr>
              <w:t>）、《关于印发江苏省危险废物贮存规范化管理专项整治行动方案的通知》（苏环办【</w:t>
            </w:r>
            <w:r>
              <w:rPr>
                <w:color w:val="auto"/>
                <w:highlight w:val="none"/>
              </w:rPr>
              <w:t>2019</w:t>
            </w:r>
            <w:r>
              <w:rPr>
                <w:rFonts w:hint="eastAsia"/>
                <w:color w:val="auto"/>
                <w:highlight w:val="none"/>
              </w:rPr>
              <w:t>】</w:t>
            </w:r>
            <w:r>
              <w:rPr>
                <w:color w:val="auto"/>
                <w:highlight w:val="none"/>
              </w:rPr>
              <w:t>149</w:t>
            </w:r>
            <w:r>
              <w:rPr>
                <w:rFonts w:hint="eastAsia"/>
                <w:color w:val="auto"/>
                <w:highlight w:val="none"/>
              </w:rPr>
              <w:t>号）、《省生态环境厅关于进一步加强危险废物环境管理工作的通知》（苏环办【</w:t>
            </w:r>
            <w:r>
              <w:rPr>
                <w:color w:val="auto"/>
                <w:highlight w:val="none"/>
              </w:rPr>
              <w:t>2021</w:t>
            </w:r>
            <w:r>
              <w:rPr>
                <w:rFonts w:hint="eastAsia"/>
                <w:color w:val="auto"/>
                <w:highlight w:val="none"/>
              </w:rPr>
              <w:t>】</w:t>
            </w:r>
            <w:r>
              <w:rPr>
                <w:color w:val="auto"/>
                <w:highlight w:val="none"/>
              </w:rPr>
              <w:t>207</w:t>
            </w:r>
            <w:r>
              <w:rPr>
                <w:rFonts w:hint="eastAsia"/>
                <w:color w:val="auto"/>
                <w:highlight w:val="none"/>
              </w:rPr>
              <w:t>号）、《省生态环境厅关于做好江苏省危险废物全生命周期监控系统上线运行工作的通知（苏环办</w:t>
            </w:r>
            <w:r>
              <w:rPr>
                <w:color w:val="auto"/>
                <w:highlight w:val="none"/>
              </w:rPr>
              <w:t>[2020]401</w:t>
            </w:r>
            <w:r>
              <w:rPr>
                <w:rFonts w:hint="eastAsia"/>
                <w:color w:val="auto"/>
                <w:highlight w:val="none"/>
              </w:rPr>
              <w:t>号）、《省生态环境厅关于印发《江苏省固体废物全过程环境监管工作意见》的通知》（苏环办</w:t>
            </w:r>
            <w:r>
              <w:rPr>
                <w:color w:val="auto"/>
                <w:highlight w:val="none"/>
              </w:rPr>
              <w:t>[2024]16</w:t>
            </w:r>
            <w:r>
              <w:rPr>
                <w:rFonts w:hint="eastAsia"/>
                <w:color w:val="auto"/>
                <w:highlight w:val="none"/>
              </w:rPr>
              <w:t>号）中相关要求。</w:t>
            </w:r>
          </w:p>
          <w:p w14:paraId="199B020D">
            <w:pPr>
              <w:rPr>
                <w:color w:val="auto"/>
                <w:sz w:val="21"/>
                <w:highlight w:val="none"/>
              </w:rPr>
            </w:pPr>
          </w:p>
          <w:p w14:paraId="6AAA70C1">
            <w:pPr>
              <w:pStyle w:val="6"/>
              <w:rPr>
                <w:color w:val="auto"/>
                <w:sz w:val="21"/>
                <w:highlight w:val="none"/>
              </w:rPr>
            </w:pPr>
          </w:p>
          <w:p w14:paraId="27B4999F">
            <w:pPr>
              <w:rPr>
                <w:color w:val="auto"/>
                <w:sz w:val="21"/>
                <w:highlight w:val="none"/>
              </w:rPr>
            </w:pPr>
          </w:p>
          <w:p w14:paraId="567625C1">
            <w:pPr>
              <w:pStyle w:val="6"/>
              <w:rPr>
                <w:color w:val="auto"/>
                <w:sz w:val="21"/>
                <w:highlight w:val="none"/>
              </w:rPr>
            </w:pPr>
          </w:p>
          <w:p w14:paraId="0D933169">
            <w:pPr>
              <w:rPr>
                <w:color w:val="auto"/>
                <w:sz w:val="21"/>
                <w:highlight w:val="none"/>
              </w:rPr>
            </w:pPr>
          </w:p>
          <w:p w14:paraId="62DB49E1">
            <w:pPr>
              <w:pStyle w:val="6"/>
              <w:rPr>
                <w:color w:val="auto"/>
                <w:sz w:val="21"/>
                <w:highlight w:val="none"/>
              </w:rPr>
            </w:pPr>
          </w:p>
          <w:p w14:paraId="11AE3A8C">
            <w:pPr>
              <w:rPr>
                <w:color w:val="auto"/>
                <w:sz w:val="21"/>
                <w:highlight w:val="none"/>
              </w:rPr>
            </w:pPr>
          </w:p>
          <w:p w14:paraId="6408BF5C">
            <w:pPr>
              <w:pStyle w:val="6"/>
              <w:rPr>
                <w:color w:val="auto"/>
                <w:sz w:val="21"/>
                <w:highlight w:val="none"/>
              </w:rPr>
            </w:pPr>
          </w:p>
          <w:p w14:paraId="3EA21698">
            <w:pPr>
              <w:rPr>
                <w:color w:val="auto"/>
                <w:highlight w:val="none"/>
              </w:rPr>
            </w:pPr>
          </w:p>
        </w:tc>
      </w:tr>
    </w:tbl>
    <w:p w14:paraId="049E1AA6">
      <w:pPr>
        <w:ind w:firstLine="480"/>
        <w:rPr>
          <w:color w:val="auto"/>
          <w:highlight w:val="none"/>
        </w:rPr>
        <w:sectPr>
          <w:footerReference r:id="rId3" w:type="default"/>
          <w:footerReference r:id="rId4" w:type="even"/>
          <w:pgSz w:w="11906" w:h="16838"/>
          <w:pgMar w:top="1440" w:right="1800" w:bottom="1440" w:left="1800" w:header="851" w:footer="992" w:gutter="0"/>
          <w:pgNumType w:fmt="numberInDash" w:start="0"/>
          <w:cols w:space="720" w:num="1"/>
          <w:titlePg/>
          <w:docGrid w:type="lines" w:linePitch="326" w:charSpace="0"/>
        </w:sectPr>
      </w:pP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8055"/>
      </w:tblGrid>
      <w:tr w14:paraId="32A3E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4" w:hRule="atLeast"/>
          <w:jc w:val="center"/>
        </w:trPr>
        <w:tc>
          <w:tcPr>
            <w:tcW w:w="274" w:type="pct"/>
            <w:vAlign w:val="center"/>
          </w:tcPr>
          <w:p w14:paraId="4070FF30">
            <w:pPr>
              <w:adjustRightInd w:val="0"/>
              <w:snapToGrid w:val="0"/>
              <w:jc w:val="center"/>
              <w:rPr>
                <w:color w:val="auto"/>
                <w:highlight w:val="none"/>
              </w:rPr>
            </w:pPr>
            <w:r>
              <w:rPr>
                <w:rFonts w:hint="eastAsia"/>
                <w:color w:val="auto"/>
                <w:highlight w:val="none"/>
              </w:rPr>
              <w:t>总量</w:t>
            </w:r>
          </w:p>
          <w:p w14:paraId="49FAA6B5">
            <w:pPr>
              <w:adjustRightInd w:val="0"/>
              <w:snapToGrid w:val="0"/>
              <w:jc w:val="center"/>
              <w:rPr>
                <w:color w:val="auto"/>
                <w:highlight w:val="none"/>
              </w:rPr>
            </w:pPr>
            <w:r>
              <w:rPr>
                <w:rFonts w:hint="eastAsia"/>
                <w:color w:val="auto"/>
                <w:highlight w:val="none"/>
              </w:rPr>
              <w:t>控制</w:t>
            </w:r>
          </w:p>
          <w:p w14:paraId="2FDA5887">
            <w:pPr>
              <w:adjustRightInd w:val="0"/>
              <w:snapToGrid w:val="0"/>
              <w:jc w:val="center"/>
              <w:rPr>
                <w:color w:val="auto"/>
                <w:highlight w:val="none"/>
              </w:rPr>
            </w:pPr>
            <w:r>
              <w:rPr>
                <w:rFonts w:hint="eastAsia"/>
                <w:color w:val="auto"/>
                <w:highlight w:val="none"/>
              </w:rPr>
              <w:t>指标</w:t>
            </w:r>
          </w:p>
        </w:tc>
        <w:tc>
          <w:tcPr>
            <w:tcW w:w="4726" w:type="pct"/>
            <w:vAlign w:val="center"/>
          </w:tcPr>
          <w:p w14:paraId="668306A9">
            <w:pPr>
              <w:pStyle w:val="56"/>
              <w:ind w:firstLine="496"/>
              <w:rPr>
                <w:color w:val="auto"/>
                <w:highlight w:val="none"/>
              </w:rPr>
            </w:pPr>
            <w:r>
              <w:rPr>
                <w:rFonts w:hint="eastAsia"/>
                <w:color w:val="auto"/>
                <w:highlight w:val="none"/>
              </w:rPr>
              <w:t>结合项目排污特征，确定总量控制因子为：</w:t>
            </w:r>
          </w:p>
          <w:p w14:paraId="4BA37682">
            <w:pPr>
              <w:pStyle w:val="56"/>
              <w:ind w:firstLine="496"/>
              <w:rPr>
                <w:color w:val="auto"/>
                <w:highlight w:val="none"/>
              </w:rPr>
            </w:pPr>
            <w:r>
              <w:rPr>
                <w:rFonts w:hint="eastAsia"/>
                <w:color w:val="auto"/>
                <w:highlight w:val="none"/>
              </w:rPr>
              <w:t>固废：固体废物得到妥善处置，排放总量为零。</w:t>
            </w:r>
          </w:p>
          <w:p w14:paraId="59062F65">
            <w:pPr>
              <w:pStyle w:val="56"/>
              <w:ind w:firstLine="496"/>
              <w:rPr>
                <w:color w:val="auto"/>
                <w:highlight w:val="none"/>
              </w:rPr>
            </w:pPr>
            <w:r>
              <w:rPr>
                <w:rFonts w:hint="eastAsia"/>
                <w:color w:val="auto"/>
                <w:highlight w:val="none"/>
              </w:rPr>
              <w:t>建设项目污染物排放总量指标见表</w:t>
            </w:r>
            <w:r>
              <w:rPr>
                <w:color w:val="auto"/>
                <w:highlight w:val="none"/>
              </w:rPr>
              <w:t>3-</w:t>
            </w:r>
            <w:r>
              <w:rPr>
                <w:rFonts w:hint="eastAsia"/>
                <w:color w:val="auto"/>
                <w:highlight w:val="none"/>
              </w:rPr>
              <w:t>8。</w:t>
            </w:r>
          </w:p>
          <w:p w14:paraId="5D550B2F">
            <w:pPr>
              <w:pStyle w:val="56"/>
              <w:ind w:firstLine="0" w:firstLineChars="0"/>
              <w:jc w:val="center"/>
              <w:rPr>
                <w:b/>
                <w:bCs/>
                <w:color w:val="auto"/>
                <w:highlight w:val="none"/>
              </w:rPr>
            </w:pPr>
            <w:r>
              <w:rPr>
                <w:rFonts w:hint="eastAsia"/>
                <w:b/>
                <w:bCs/>
                <w:color w:val="auto"/>
                <w:highlight w:val="none"/>
              </w:rPr>
              <w:t>表</w:t>
            </w:r>
            <w:r>
              <w:rPr>
                <w:b/>
                <w:bCs/>
                <w:color w:val="auto"/>
                <w:highlight w:val="none"/>
              </w:rPr>
              <w:t>3-</w:t>
            </w:r>
            <w:r>
              <w:rPr>
                <w:rFonts w:hint="eastAsia"/>
                <w:b/>
                <w:bCs/>
                <w:color w:val="auto"/>
                <w:highlight w:val="none"/>
              </w:rPr>
              <w:t>8 建设项目污染物排放总量指标（单位：</w:t>
            </w:r>
            <w:r>
              <w:rPr>
                <w:b/>
                <w:bCs/>
                <w:color w:val="auto"/>
                <w:highlight w:val="none"/>
              </w:rPr>
              <w:t>t/a</w:t>
            </w:r>
            <w:r>
              <w:rPr>
                <w:rFonts w:hint="eastAsia"/>
                <w:b/>
                <w:bCs/>
                <w:color w:val="auto"/>
                <w:highlight w:val="none"/>
              </w:rPr>
              <w:t>）</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75"/>
              <w:gridCol w:w="478"/>
              <w:gridCol w:w="778"/>
              <w:gridCol w:w="811"/>
              <w:gridCol w:w="794"/>
              <w:gridCol w:w="875"/>
              <w:gridCol w:w="1744"/>
              <w:gridCol w:w="1327"/>
            </w:tblGrid>
            <w:tr w14:paraId="409DC4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tcBorders>
                    <w:top w:val="single" w:color="auto" w:sz="12" w:space="0"/>
                    <w:left w:val="nil"/>
                    <w:bottom w:val="single" w:color="auto" w:sz="12" w:space="0"/>
                    <w:right w:val="single" w:color="auto" w:sz="4" w:space="0"/>
                  </w:tcBorders>
                  <w:vAlign w:val="center"/>
                </w:tcPr>
                <w:p w14:paraId="229AED95">
                  <w:pPr>
                    <w:jc w:val="center"/>
                    <w:rPr>
                      <w:rFonts w:cs="Times New Roman"/>
                      <w:color w:val="auto"/>
                      <w:kern w:val="2"/>
                      <w:sz w:val="21"/>
                      <w:szCs w:val="21"/>
                      <w:highlight w:val="none"/>
                    </w:rPr>
                  </w:pPr>
                  <w:r>
                    <w:rPr>
                      <w:rFonts w:cs="Times New Roman"/>
                      <w:b/>
                      <w:color w:val="auto"/>
                      <w:sz w:val="21"/>
                      <w:szCs w:val="21"/>
                      <w:highlight w:val="none"/>
                    </w:rPr>
                    <w:t>类别</w:t>
                  </w:r>
                </w:p>
              </w:tc>
              <w:tc>
                <w:tcPr>
                  <w:tcW w:w="1103" w:type="pct"/>
                  <w:gridSpan w:val="3"/>
                  <w:tcBorders>
                    <w:top w:val="single" w:color="auto" w:sz="12" w:space="0"/>
                    <w:left w:val="single" w:color="auto" w:sz="4" w:space="0"/>
                    <w:bottom w:val="single" w:color="auto" w:sz="12" w:space="0"/>
                    <w:right w:val="single" w:color="auto" w:sz="4" w:space="0"/>
                  </w:tcBorders>
                  <w:vAlign w:val="center"/>
                </w:tcPr>
                <w:p w14:paraId="2C992900">
                  <w:pPr>
                    <w:jc w:val="center"/>
                    <w:rPr>
                      <w:rFonts w:cs="Times New Roman"/>
                      <w:color w:val="auto"/>
                      <w:kern w:val="2"/>
                      <w:sz w:val="21"/>
                      <w:szCs w:val="21"/>
                      <w:highlight w:val="none"/>
                    </w:rPr>
                  </w:pPr>
                  <w:r>
                    <w:rPr>
                      <w:rFonts w:cs="Times New Roman"/>
                      <w:b/>
                      <w:color w:val="auto"/>
                      <w:sz w:val="21"/>
                      <w:szCs w:val="21"/>
                      <w:highlight w:val="none"/>
                    </w:rPr>
                    <w:t>污染物名称</w:t>
                  </w:r>
                </w:p>
              </w:tc>
              <w:tc>
                <w:tcPr>
                  <w:tcW w:w="517" w:type="pct"/>
                  <w:tcBorders>
                    <w:top w:val="single" w:color="auto" w:sz="12" w:space="0"/>
                    <w:left w:val="single" w:color="auto" w:sz="4" w:space="0"/>
                    <w:bottom w:val="single" w:color="auto" w:sz="12" w:space="0"/>
                    <w:right w:val="single" w:color="auto" w:sz="2" w:space="0"/>
                  </w:tcBorders>
                  <w:vAlign w:val="center"/>
                </w:tcPr>
                <w:p w14:paraId="0AC69D80">
                  <w:pPr>
                    <w:jc w:val="center"/>
                    <w:rPr>
                      <w:rFonts w:cs="Times New Roman"/>
                      <w:b/>
                      <w:color w:val="auto"/>
                      <w:sz w:val="21"/>
                      <w:szCs w:val="21"/>
                      <w:highlight w:val="none"/>
                    </w:rPr>
                  </w:pPr>
                  <w:r>
                    <w:rPr>
                      <w:rFonts w:cs="Times New Roman"/>
                      <w:b/>
                      <w:color w:val="auto"/>
                      <w:sz w:val="21"/>
                      <w:szCs w:val="21"/>
                      <w:highlight w:val="none"/>
                    </w:rPr>
                    <w:t>产生量</w:t>
                  </w:r>
                </w:p>
              </w:tc>
              <w:tc>
                <w:tcPr>
                  <w:tcW w:w="506" w:type="pct"/>
                  <w:tcBorders>
                    <w:top w:val="single" w:color="auto" w:sz="12" w:space="0"/>
                    <w:left w:val="single" w:color="auto" w:sz="4" w:space="0"/>
                    <w:bottom w:val="single" w:color="auto" w:sz="12" w:space="0"/>
                    <w:right w:val="single" w:color="auto" w:sz="2" w:space="0"/>
                  </w:tcBorders>
                  <w:vAlign w:val="center"/>
                </w:tcPr>
                <w:p w14:paraId="0094E955">
                  <w:pPr>
                    <w:jc w:val="center"/>
                    <w:rPr>
                      <w:rFonts w:cs="Times New Roman"/>
                      <w:b/>
                      <w:color w:val="auto"/>
                      <w:sz w:val="21"/>
                      <w:szCs w:val="21"/>
                      <w:highlight w:val="none"/>
                    </w:rPr>
                  </w:pPr>
                  <w:r>
                    <w:rPr>
                      <w:rFonts w:cs="Times New Roman"/>
                      <w:b/>
                      <w:color w:val="auto"/>
                      <w:sz w:val="21"/>
                      <w:szCs w:val="21"/>
                      <w:highlight w:val="none"/>
                    </w:rPr>
                    <w:t>削减量</w:t>
                  </w:r>
                </w:p>
              </w:tc>
              <w:tc>
                <w:tcPr>
                  <w:tcW w:w="558" w:type="pct"/>
                  <w:tcBorders>
                    <w:top w:val="single" w:color="auto" w:sz="12" w:space="0"/>
                    <w:left w:val="single" w:color="auto" w:sz="2" w:space="0"/>
                    <w:bottom w:val="single" w:color="auto" w:sz="12" w:space="0"/>
                    <w:right w:val="single" w:color="auto" w:sz="4" w:space="0"/>
                  </w:tcBorders>
                  <w:vAlign w:val="center"/>
                </w:tcPr>
                <w:p w14:paraId="6BC80D56">
                  <w:pPr>
                    <w:jc w:val="center"/>
                    <w:rPr>
                      <w:rFonts w:cs="Times New Roman"/>
                      <w:b/>
                      <w:color w:val="auto"/>
                      <w:sz w:val="21"/>
                      <w:szCs w:val="21"/>
                      <w:highlight w:val="none"/>
                    </w:rPr>
                  </w:pPr>
                  <w:r>
                    <w:rPr>
                      <w:rFonts w:cs="Times New Roman"/>
                      <w:b/>
                      <w:color w:val="auto"/>
                      <w:sz w:val="21"/>
                      <w:szCs w:val="21"/>
                      <w:highlight w:val="none"/>
                    </w:rPr>
                    <w:t>接管量</w:t>
                  </w:r>
                </w:p>
              </w:tc>
              <w:tc>
                <w:tcPr>
                  <w:tcW w:w="1112" w:type="pct"/>
                  <w:tcBorders>
                    <w:top w:val="single" w:color="auto" w:sz="12" w:space="0"/>
                    <w:left w:val="single" w:color="auto" w:sz="4" w:space="0"/>
                    <w:bottom w:val="single" w:color="auto" w:sz="12" w:space="0"/>
                    <w:right w:val="single" w:color="auto" w:sz="4" w:space="0"/>
                  </w:tcBorders>
                  <w:vAlign w:val="center"/>
                </w:tcPr>
                <w:p w14:paraId="74B48391">
                  <w:pPr>
                    <w:jc w:val="center"/>
                    <w:rPr>
                      <w:rFonts w:cs="Times New Roman"/>
                      <w:color w:val="auto"/>
                      <w:kern w:val="2"/>
                      <w:sz w:val="21"/>
                      <w:szCs w:val="21"/>
                      <w:highlight w:val="none"/>
                    </w:rPr>
                  </w:pPr>
                  <w:r>
                    <w:rPr>
                      <w:rFonts w:cs="Times New Roman"/>
                      <w:b/>
                      <w:color w:val="auto"/>
                      <w:sz w:val="21"/>
                      <w:szCs w:val="21"/>
                      <w:highlight w:val="none"/>
                    </w:rPr>
                    <w:t>外排量</w:t>
                  </w:r>
                </w:p>
              </w:tc>
              <w:tc>
                <w:tcPr>
                  <w:tcW w:w="846" w:type="pct"/>
                  <w:tcBorders>
                    <w:top w:val="single" w:color="auto" w:sz="12" w:space="0"/>
                    <w:left w:val="single" w:color="auto" w:sz="4" w:space="0"/>
                    <w:bottom w:val="single" w:color="auto" w:sz="12" w:space="0"/>
                    <w:right w:val="nil"/>
                  </w:tcBorders>
                  <w:vAlign w:val="center"/>
                </w:tcPr>
                <w:p w14:paraId="4C2849A3">
                  <w:pPr>
                    <w:jc w:val="center"/>
                    <w:rPr>
                      <w:rFonts w:cs="Times New Roman"/>
                      <w:color w:val="auto"/>
                      <w:kern w:val="2"/>
                      <w:sz w:val="21"/>
                      <w:szCs w:val="21"/>
                      <w:highlight w:val="none"/>
                    </w:rPr>
                  </w:pPr>
                  <w:r>
                    <w:rPr>
                      <w:rFonts w:cs="Times New Roman"/>
                      <w:b/>
                      <w:color w:val="auto"/>
                      <w:sz w:val="21"/>
                      <w:szCs w:val="21"/>
                      <w:highlight w:val="none"/>
                    </w:rPr>
                    <w:t>建议申请量</w:t>
                  </w:r>
                </w:p>
              </w:tc>
            </w:tr>
            <w:tr w14:paraId="279F6F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restart"/>
                  <w:tcBorders>
                    <w:top w:val="single" w:color="auto" w:sz="4" w:space="0"/>
                    <w:left w:val="nil"/>
                    <w:right w:val="single" w:color="auto" w:sz="4" w:space="0"/>
                  </w:tcBorders>
                  <w:vAlign w:val="center"/>
                </w:tcPr>
                <w:p w14:paraId="7F90536E">
                  <w:pPr>
                    <w:snapToGrid w:val="0"/>
                    <w:spacing w:line="260" w:lineRule="exact"/>
                    <w:jc w:val="center"/>
                    <w:rPr>
                      <w:rFonts w:cs="Times New Roman"/>
                      <w:color w:val="auto"/>
                      <w:sz w:val="21"/>
                      <w:szCs w:val="21"/>
                      <w:highlight w:val="none"/>
                    </w:rPr>
                  </w:pPr>
                  <w:r>
                    <w:rPr>
                      <w:rFonts w:cs="Times New Roman"/>
                      <w:color w:val="auto"/>
                      <w:sz w:val="21"/>
                      <w:szCs w:val="21"/>
                      <w:highlight w:val="none"/>
                    </w:rPr>
                    <w:t>废水</w:t>
                  </w:r>
                </w:p>
              </w:tc>
              <w:tc>
                <w:tcPr>
                  <w:tcW w:w="608" w:type="pct"/>
                  <w:gridSpan w:val="2"/>
                  <w:vMerge w:val="restart"/>
                  <w:tcBorders>
                    <w:top w:val="single" w:color="auto" w:sz="4" w:space="0"/>
                    <w:left w:val="single" w:color="auto" w:sz="4" w:space="0"/>
                    <w:bottom w:val="single" w:color="auto" w:sz="4" w:space="0"/>
                    <w:right w:val="single" w:color="auto" w:sz="4" w:space="0"/>
                  </w:tcBorders>
                  <w:vAlign w:val="center"/>
                </w:tcPr>
                <w:p w14:paraId="5EDD9094">
                  <w:pPr>
                    <w:snapToGrid w:val="0"/>
                    <w:spacing w:line="260" w:lineRule="exact"/>
                    <w:jc w:val="center"/>
                    <w:rPr>
                      <w:rFonts w:cs="Times New Roman"/>
                      <w:color w:val="auto"/>
                      <w:sz w:val="21"/>
                      <w:szCs w:val="21"/>
                      <w:highlight w:val="none"/>
                    </w:rPr>
                  </w:pPr>
                  <w:r>
                    <w:rPr>
                      <w:rFonts w:cs="Times New Roman"/>
                      <w:color w:val="auto"/>
                      <w:sz w:val="21"/>
                      <w:szCs w:val="21"/>
                      <w:highlight w:val="none"/>
                    </w:rPr>
                    <w:t>生活污水</w:t>
                  </w:r>
                </w:p>
              </w:tc>
              <w:tc>
                <w:tcPr>
                  <w:tcW w:w="495" w:type="pct"/>
                  <w:tcBorders>
                    <w:top w:val="single" w:color="auto" w:sz="4" w:space="0"/>
                    <w:left w:val="single" w:color="auto" w:sz="4" w:space="0"/>
                    <w:bottom w:val="single" w:color="auto" w:sz="4" w:space="0"/>
                    <w:right w:val="single" w:color="auto" w:sz="4" w:space="0"/>
                  </w:tcBorders>
                  <w:vAlign w:val="center"/>
                </w:tcPr>
                <w:p w14:paraId="75007413">
                  <w:pPr>
                    <w:snapToGrid w:val="0"/>
                    <w:spacing w:line="260" w:lineRule="exact"/>
                    <w:jc w:val="center"/>
                    <w:rPr>
                      <w:rFonts w:cs="Times New Roman"/>
                      <w:color w:val="auto"/>
                      <w:sz w:val="21"/>
                      <w:szCs w:val="21"/>
                      <w:highlight w:val="none"/>
                    </w:rPr>
                  </w:pPr>
                  <w:r>
                    <w:rPr>
                      <w:rFonts w:cs="Times New Roman"/>
                      <w:color w:val="auto"/>
                      <w:sz w:val="21"/>
                      <w:szCs w:val="21"/>
                      <w:highlight w:val="none"/>
                    </w:rPr>
                    <w:t>废水量</w:t>
                  </w:r>
                </w:p>
              </w:tc>
              <w:tc>
                <w:tcPr>
                  <w:tcW w:w="517" w:type="pct"/>
                  <w:tcBorders>
                    <w:top w:val="single" w:color="auto" w:sz="4" w:space="0"/>
                    <w:left w:val="single" w:color="auto" w:sz="4" w:space="0"/>
                    <w:bottom w:val="single" w:color="auto" w:sz="4" w:space="0"/>
                    <w:right w:val="single" w:color="auto" w:sz="2" w:space="0"/>
                  </w:tcBorders>
                  <w:vAlign w:val="center"/>
                </w:tcPr>
                <w:p w14:paraId="2D71F5D7">
                  <w:pPr>
                    <w:adjustRightInd w:val="0"/>
                    <w:snapToGrid w:val="0"/>
                    <w:jc w:val="center"/>
                    <w:rPr>
                      <w:rFonts w:cs="Times New Roman"/>
                      <w:color w:val="auto"/>
                      <w:sz w:val="21"/>
                      <w:szCs w:val="21"/>
                      <w:highlight w:val="none"/>
                    </w:rPr>
                  </w:pPr>
                  <w:r>
                    <w:rPr>
                      <w:rFonts w:cs="Times New Roman"/>
                      <w:color w:val="auto"/>
                      <w:sz w:val="21"/>
                      <w:szCs w:val="21"/>
                      <w:highlight w:val="none"/>
                    </w:rPr>
                    <w:t>120</w:t>
                  </w:r>
                </w:p>
              </w:tc>
              <w:tc>
                <w:tcPr>
                  <w:tcW w:w="506" w:type="pct"/>
                  <w:tcBorders>
                    <w:top w:val="single" w:color="auto" w:sz="4" w:space="0"/>
                    <w:left w:val="single" w:color="auto" w:sz="4" w:space="0"/>
                    <w:bottom w:val="single" w:color="auto" w:sz="4" w:space="0"/>
                    <w:right w:val="single" w:color="auto" w:sz="2" w:space="0"/>
                  </w:tcBorders>
                  <w:vAlign w:val="center"/>
                </w:tcPr>
                <w:p w14:paraId="07F0F32E">
                  <w:pPr>
                    <w:jc w:val="center"/>
                    <w:rPr>
                      <w:rFonts w:cs="Times New Roman"/>
                      <w:color w:val="auto"/>
                      <w:sz w:val="21"/>
                      <w:szCs w:val="21"/>
                      <w:highlight w:val="none"/>
                    </w:rPr>
                  </w:pPr>
                  <w:r>
                    <w:rPr>
                      <w:rFonts w:cs="Times New Roman"/>
                      <w:color w:val="auto"/>
                      <w:sz w:val="21"/>
                      <w:szCs w:val="21"/>
                      <w:highlight w:val="none"/>
                    </w:rPr>
                    <w:t>0</w:t>
                  </w:r>
                </w:p>
              </w:tc>
              <w:tc>
                <w:tcPr>
                  <w:tcW w:w="558" w:type="pct"/>
                  <w:tcBorders>
                    <w:top w:val="single" w:color="auto" w:sz="4" w:space="0"/>
                    <w:left w:val="single" w:color="auto" w:sz="2" w:space="0"/>
                    <w:bottom w:val="single" w:color="auto" w:sz="4" w:space="0"/>
                    <w:right w:val="single" w:color="auto" w:sz="4" w:space="0"/>
                  </w:tcBorders>
                  <w:vAlign w:val="center"/>
                </w:tcPr>
                <w:p w14:paraId="41ADD66C">
                  <w:pPr>
                    <w:adjustRightInd w:val="0"/>
                    <w:snapToGrid w:val="0"/>
                    <w:jc w:val="center"/>
                    <w:rPr>
                      <w:rFonts w:cs="Times New Roman"/>
                      <w:color w:val="auto"/>
                      <w:sz w:val="21"/>
                      <w:szCs w:val="21"/>
                      <w:highlight w:val="none"/>
                    </w:rPr>
                  </w:pPr>
                  <w:r>
                    <w:rPr>
                      <w:rFonts w:cs="Times New Roman"/>
                      <w:color w:val="auto"/>
                      <w:sz w:val="21"/>
                      <w:szCs w:val="21"/>
                      <w:highlight w:val="none"/>
                    </w:rPr>
                    <w:t>120</w:t>
                  </w:r>
                </w:p>
              </w:tc>
              <w:tc>
                <w:tcPr>
                  <w:tcW w:w="1112" w:type="pct"/>
                  <w:tcBorders>
                    <w:top w:val="single" w:color="auto" w:sz="4" w:space="0"/>
                    <w:left w:val="single" w:color="auto" w:sz="4" w:space="0"/>
                    <w:bottom w:val="single" w:color="auto" w:sz="4" w:space="0"/>
                    <w:right w:val="single" w:color="auto" w:sz="4" w:space="0"/>
                  </w:tcBorders>
                  <w:vAlign w:val="center"/>
                </w:tcPr>
                <w:p w14:paraId="4507B53E">
                  <w:pPr>
                    <w:adjustRightInd w:val="0"/>
                    <w:snapToGrid w:val="0"/>
                    <w:jc w:val="center"/>
                    <w:rPr>
                      <w:rFonts w:cs="Times New Roman"/>
                      <w:color w:val="auto"/>
                      <w:sz w:val="21"/>
                      <w:szCs w:val="21"/>
                      <w:highlight w:val="none"/>
                    </w:rPr>
                  </w:pPr>
                  <w:r>
                    <w:rPr>
                      <w:rFonts w:cs="Times New Roman"/>
                      <w:color w:val="auto"/>
                      <w:sz w:val="21"/>
                      <w:szCs w:val="21"/>
                      <w:highlight w:val="none"/>
                    </w:rPr>
                    <w:t>120</w:t>
                  </w:r>
                </w:p>
              </w:tc>
              <w:tc>
                <w:tcPr>
                  <w:tcW w:w="846" w:type="pct"/>
                  <w:tcBorders>
                    <w:top w:val="single" w:color="auto" w:sz="4" w:space="0"/>
                    <w:left w:val="single" w:color="auto" w:sz="4" w:space="0"/>
                    <w:bottom w:val="single" w:color="auto" w:sz="4" w:space="0"/>
                    <w:right w:val="nil"/>
                  </w:tcBorders>
                  <w:vAlign w:val="center"/>
                </w:tcPr>
                <w:p w14:paraId="53C0D45A">
                  <w:pPr>
                    <w:pStyle w:val="62"/>
                    <w:rPr>
                      <w:rFonts w:cs="Times New Roman"/>
                      <w:color w:val="auto"/>
                      <w:highlight w:val="none"/>
                    </w:rPr>
                  </w:pPr>
                  <w:r>
                    <w:rPr>
                      <w:rFonts w:cs="Times New Roman"/>
                      <w:color w:val="auto"/>
                      <w:highlight w:val="none"/>
                    </w:rPr>
                    <w:t>120</w:t>
                  </w:r>
                </w:p>
              </w:tc>
            </w:tr>
            <w:tr w14:paraId="3828B8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continue"/>
                  <w:tcBorders>
                    <w:left w:val="nil"/>
                    <w:right w:val="single" w:color="auto" w:sz="4" w:space="0"/>
                  </w:tcBorders>
                  <w:vAlign w:val="center"/>
                </w:tcPr>
                <w:p w14:paraId="2A9166B7">
                  <w:pPr>
                    <w:jc w:val="center"/>
                    <w:rPr>
                      <w:rFonts w:cs="Times New Roman"/>
                      <w:color w:val="auto"/>
                      <w:kern w:val="2"/>
                      <w:sz w:val="21"/>
                      <w:szCs w:val="21"/>
                      <w:highlight w:val="none"/>
                    </w:rPr>
                  </w:pPr>
                </w:p>
              </w:tc>
              <w:tc>
                <w:tcPr>
                  <w:tcW w:w="608" w:type="pct"/>
                  <w:gridSpan w:val="2"/>
                  <w:vMerge w:val="continue"/>
                  <w:tcBorders>
                    <w:top w:val="single" w:color="auto" w:sz="4" w:space="0"/>
                    <w:left w:val="single" w:color="auto" w:sz="4" w:space="0"/>
                    <w:bottom w:val="single" w:color="auto" w:sz="4" w:space="0"/>
                    <w:right w:val="single" w:color="auto" w:sz="4" w:space="0"/>
                  </w:tcBorders>
                  <w:vAlign w:val="center"/>
                </w:tcPr>
                <w:p w14:paraId="271E4064">
                  <w:pPr>
                    <w:jc w:val="center"/>
                    <w:rPr>
                      <w:rFonts w:cs="Times New Roman"/>
                      <w:color w:val="auto"/>
                      <w:kern w:val="2"/>
                      <w:sz w:val="21"/>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4E9901DC">
                  <w:pPr>
                    <w:snapToGrid w:val="0"/>
                    <w:spacing w:line="260" w:lineRule="exact"/>
                    <w:jc w:val="center"/>
                    <w:rPr>
                      <w:rFonts w:cs="Times New Roman"/>
                      <w:color w:val="auto"/>
                      <w:sz w:val="21"/>
                      <w:szCs w:val="21"/>
                      <w:highlight w:val="none"/>
                    </w:rPr>
                  </w:pPr>
                  <w:r>
                    <w:rPr>
                      <w:rFonts w:cs="Times New Roman"/>
                      <w:color w:val="auto"/>
                      <w:sz w:val="21"/>
                      <w:szCs w:val="21"/>
                      <w:highlight w:val="none"/>
                    </w:rPr>
                    <w:t>COD</w:t>
                  </w:r>
                </w:p>
              </w:tc>
              <w:tc>
                <w:tcPr>
                  <w:tcW w:w="517" w:type="pct"/>
                  <w:tcBorders>
                    <w:top w:val="single" w:color="auto" w:sz="4" w:space="0"/>
                    <w:left w:val="single" w:color="auto" w:sz="4" w:space="0"/>
                    <w:bottom w:val="single" w:color="auto" w:sz="4" w:space="0"/>
                    <w:right w:val="single" w:color="auto" w:sz="2" w:space="0"/>
                  </w:tcBorders>
                  <w:vAlign w:val="center"/>
                </w:tcPr>
                <w:p w14:paraId="5EE94457">
                  <w:pPr>
                    <w:jc w:val="center"/>
                    <w:rPr>
                      <w:rFonts w:cs="Times New Roman"/>
                      <w:color w:val="auto"/>
                      <w:sz w:val="21"/>
                      <w:szCs w:val="21"/>
                      <w:highlight w:val="none"/>
                    </w:rPr>
                  </w:pPr>
                  <w:r>
                    <w:rPr>
                      <w:rFonts w:cs="Times New Roman"/>
                      <w:color w:val="auto"/>
                      <w:sz w:val="21"/>
                      <w:szCs w:val="21"/>
                      <w:highlight w:val="none"/>
                    </w:rPr>
                    <w:t>0.0600</w:t>
                  </w:r>
                </w:p>
              </w:tc>
              <w:tc>
                <w:tcPr>
                  <w:tcW w:w="506" w:type="pct"/>
                  <w:tcBorders>
                    <w:top w:val="single" w:color="auto" w:sz="4" w:space="0"/>
                    <w:left w:val="single" w:color="auto" w:sz="4" w:space="0"/>
                    <w:bottom w:val="single" w:color="auto" w:sz="4" w:space="0"/>
                    <w:right w:val="single" w:color="auto" w:sz="2" w:space="0"/>
                  </w:tcBorders>
                  <w:vAlign w:val="center"/>
                </w:tcPr>
                <w:p w14:paraId="35EF9B44">
                  <w:pPr>
                    <w:jc w:val="center"/>
                    <w:rPr>
                      <w:rFonts w:cs="Times New Roman"/>
                      <w:color w:val="auto"/>
                      <w:sz w:val="21"/>
                      <w:szCs w:val="21"/>
                      <w:highlight w:val="none"/>
                    </w:rPr>
                  </w:pPr>
                  <w:r>
                    <w:rPr>
                      <w:rFonts w:cs="Times New Roman"/>
                      <w:color w:val="auto"/>
                      <w:sz w:val="21"/>
                      <w:szCs w:val="21"/>
                      <w:highlight w:val="none"/>
                    </w:rPr>
                    <w:t>0.0060</w:t>
                  </w:r>
                </w:p>
              </w:tc>
              <w:tc>
                <w:tcPr>
                  <w:tcW w:w="558" w:type="pct"/>
                  <w:tcBorders>
                    <w:top w:val="single" w:color="auto" w:sz="4" w:space="0"/>
                    <w:left w:val="single" w:color="auto" w:sz="2" w:space="0"/>
                    <w:bottom w:val="single" w:color="auto" w:sz="4" w:space="0"/>
                    <w:right w:val="single" w:color="auto" w:sz="4" w:space="0"/>
                  </w:tcBorders>
                  <w:vAlign w:val="center"/>
                </w:tcPr>
                <w:p w14:paraId="44245B7E">
                  <w:pPr>
                    <w:jc w:val="center"/>
                    <w:rPr>
                      <w:rFonts w:cs="Times New Roman"/>
                      <w:color w:val="auto"/>
                      <w:sz w:val="21"/>
                      <w:szCs w:val="21"/>
                      <w:highlight w:val="none"/>
                    </w:rPr>
                  </w:pPr>
                  <w:r>
                    <w:rPr>
                      <w:rFonts w:cs="Times New Roman"/>
                      <w:color w:val="auto"/>
                      <w:sz w:val="21"/>
                      <w:szCs w:val="21"/>
                      <w:highlight w:val="none"/>
                    </w:rPr>
                    <w:t>0.054</w:t>
                  </w:r>
                </w:p>
              </w:tc>
              <w:tc>
                <w:tcPr>
                  <w:tcW w:w="1112" w:type="pct"/>
                  <w:tcBorders>
                    <w:top w:val="single" w:color="auto" w:sz="4" w:space="0"/>
                    <w:left w:val="single" w:color="auto" w:sz="4" w:space="0"/>
                    <w:bottom w:val="single" w:color="auto" w:sz="4" w:space="0"/>
                    <w:right w:val="single" w:color="auto" w:sz="4" w:space="0"/>
                  </w:tcBorders>
                  <w:vAlign w:val="center"/>
                </w:tcPr>
                <w:p w14:paraId="41D6B7CE">
                  <w:pPr>
                    <w:jc w:val="center"/>
                    <w:rPr>
                      <w:rFonts w:cs="Times New Roman"/>
                      <w:color w:val="auto"/>
                      <w:sz w:val="21"/>
                      <w:szCs w:val="21"/>
                      <w:highlight w:val="none"/>
                    </w:rPr>
                  </w:pPr>
                  <w:r>
                    <w:rPr>
                      <w:rFonts w:cs="Times New Roman"/>
                      <w:color w:val="auto"/>
                      <w:sz w:val="21"/>
                      <w:szCs w:val="21"/>
                      <w:highlight w:val="none"/>
                    </w:rPr>
                    <w:t>0.0060</w:t>
                  </w:r>
                </w:p>
              </w:tc>
              <w:tc>
                <w:tcPr>
                  <w:tcW w:w="846" w:type="pct"/>
                  <w:tcBorders>
                    <w:top w:val="single" w:color="auto" w:sz="4" w:space="0"/>
                    <w:left w:val="single" w:color="auto" w:sz="4" w:space="0"/>
                    <w:bottom w:val="single" w:color="auto" w:sz="4" w:space="0"/>
                    <w:right w:val="nil"/>
                  </w:tcBorders>
                  <w:vAlign w:val="center"/>
                </w:tcPr>
                <w:p w14:paraId="65563B2A">
                  <w:pPr>
                    <w:pStyle w:val="62"/>
                    <w:rPr>
                      <w:rFonts w:cs="Times New Roman"/>
                      <w:color w:val="auto"/>
                      <w:highlight w:val="none"/>
                    </w:rPr>
                  </w:pPr>
                  <w:r>
                    <w:rPr>
                      <w:rFonts w:cs="Times New Roman"/>
                      <w:color w:val="auto"/>
                      <w:highlight w:val="none"/>
                    </w:rPr>
                    <w:t xml:space="preserve">0.054/0.0060 </w:t>
                  </w:r>
                </w:p>
              </w:tc>
            </w:tr>
            <w:tr w14:paraId="69D278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continue"/>
                  <w:tcBorders>
                    <w:left w:val="nil"/>
                    <w:right w:val="single" w:color="auto" w:sz="4" w:space="0"/>
                  </w:tcBorders>
                  <w:vAlign w:val="center"/>
                </w:tcPr>
                <w:p w14:paraId="0D3E35C7">
                  <w:pPr>
                    <w:jc w:val="center"/>
                    <w:rPr>
                      <w:rFonts w:cs="Times New Roman"/>
                      <w:color w:val="auto"/>
                      <w:kern w:val="2"/>
                      <w:sz w:val="21"/>
                      <w:szCs w:val="21"/>
                      <w:highlight w:val="none"/>
                    </w:rPr>
                  </w:pPr>
                </w:p>
              </w:tc>
              <w:tc>
                <w:tcPr>
                  <w:tcW w:w="608" w:type="pct"/>
                  <w:gridSpan w:val="2"/>
                  <w:vMerge w:val="continue"/>
                  <w:tcBorders>
                    <w:top w:val="single" w:color="auto" w:sz="4" w:space="0"/>
                    <w:left w:val="single" w:color="auto" w:sz="4" w:space="0"/>
                    <w:bottom w:val="single" w:color="auto" w:sz="4" w:space="0"/>
                    <w:right w:val="single" w:color="auto" w:sz="4" w:space="0"/>
                  </w:tcBorders>
                  <w:vAlign w:val="center"/>
                </w:tcPr>
                <w:p w14:paraId="26A1BA42">
                  <w:pPr>
                    <w:jc w:val="center"/>
                    <w:rPr>
                      <w:rFonts w:cs="Times New Roman"/>
                      <w:color w:val="auto"/>
                      <w:kern w:val="2"/>
                      <w:sz w:val="21"/>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25733AD6">
                  <w:pPr>
                    <w:snapToGrid w:val="0"/>
                    <w:spacing w:line="260" w:lineRule="exact"/>
                    <w:jc w:val="center"/>
                    <w:rPr>
                      <w:rFonts w:cs="Times New Roman"/>
                      <w:color w:val="auto"/>
                      <w:sz w:val="21"/>
                      <w:szCs w:val="21"/>
                      <w:highlight w:val="none"/>
                    </w:rPr>
                  </w:pPr>
                  <w:r>
                    <w:rPr>
                      <w:rFonts w:cs="Times New Roman"/>
                      <w:color w:val="auto"/>
                      <w:sz w:val="21"/>
                      <w:szCs w:val="21"/>
                      <w:highlight w:val="none"/>
                    </w:rPr>
                    <w:t>SS</w:t>
                  </w:r>
                </w:p>
              </w:tc>
              <w:tc>
                <w:tcPr>
                  <w:tcW w:w="517" w:type="pct"/>
                  <w:tcBorders>
                    <w:top w:val="single" w:color="auto" w:sz="4" w:space="0"/>
                    <w:left w:val="single" w:color="auto" w:sz="4" w:space="0"/>
                    <w:bottom w:val="single" w:color="auto" w:sz="4" w:space="0"/>
                    <w:right w:val="single" w:color="auto" w:sz="2" w:space="0"/>
                  </w:tcBorders>
                  <w:vAlign w:val="center"/>
                </w:tcPr>
                <w:p w14:paraId="50A4FACF">
                  <w:pPr>
                    <w:jc w:val="center"/>
                    <w:rPr>
                      <w:rFonts w:cs="Times New Roman"/>
                      <w:color w:val="auto"/>
                      <w:sz w:val="21"/>
                      <w:szCs w:val="21"/>
                      <w:highlight w:val="none"/>
                    </w:rPr>
                  </w:pPr>
                  <w:r>
                    <w:rPr>
                      <w:rFonts w:cs="Times New Roman"/>
                      <w:color w:val="auto"/>
                      <w:sz w:val="21"/>
                      <w:szCs w:val="21"/>
                      <w:highlight w:val="none"/>
                    </w:rPr>
                    <w:t xml:space="preserve">0.048 </w:t>
                  </w:r>
                </w:p>
              </w:tc>
              <w:tc>
                <w:tcPr>
                  <w:tcW w:w="506" w:type="pct"/>
                  <w:tcBorders>
                    <w:top w:val="single" w:color="auto" w:sz="4" w:space="0"/>
                    <w:left w:val="single" w:color="auto" w:sz="4" w:space="0"/>
                    <w:bottom w:val="single" w:color="auto" w:sz="4" w:space="0"/>
                    <w:right w:val="single" w:color="auto" w:sz="2" w:space="0"/>
                  </w:tcBorders>
                  <w:vAlign w:val="center"/>
                </w:tcPr>
                <w:p w14:paraId="6436B395">
                  <w:pPr>
                    <w:pStyle w:val="62"/>
                    <w:rPr>
                      <w:rFonts w:cs="Times New Roman"/>
                      <w:color w:val="auto"/>
                      <w:highlight w:val="none"/>
                    </w:rPr>
                  </w:pPr>
                  <w:r>
                    <w:rPr>
                      <w:rFonts w:cs="Times New Roman"/>
                      <w:color w:val="auto"/>
                      <w:highlight w:val="none"/>
                    </w:rPr>
                    <w:t xml:space="preserve">0.0060 </w:t>
                  </w:r>
                </w:p>
              </w:tc>
              <w:tc>
                <w:tcPr>
                  <w:tcW w:w="558" w:type="pct"/>
                  <w:tcBorders>
                    <w:top w:val="single" w:color="auto" w:sz="4" w:space="0"/>
                    <w:left w:val="single" w:color="auto" w:sz="2" w:space="0"/>
                    <w:bottom w:val="single" w:color="auto" w:sz="4" w:space="0"/>
                    <w:right w:val="single" w:color="auto" w:sz="4" w:space="0"/>
                  </w:tcBorders>
                  <w:vAlign w:val="center"/>
                </w:tcPr>
                <w:p w14:paraId="219459E9">
                  <w:pPr>
                    <w:pStyle w:val="62"/>
                    <w:rPr>
                      <w:rFonts w:cs="Times New Roman"/>
                      <w:color w:val="auto"/>
                      <w:highlight w:val="none"/>
                    </w:rPr>
                  </w:pPr>
                  <w:r>
                    <w:rPr>
                      <w:rFonts w:cs="Times New Roman"/>
                      <w:color w:val="auto"/>
                      <w:highlight w:val="none"/>
                    </w:rPr>
                    <w:t xml:space="preserve">0.042 </w:t>
                  </w:r>
                </w:p>
              </w:tc>
              <w:tc>
                <w:tcPr>
                  <w:tcW w:w="1112" w:type="pct"/>
                  <w:tcBorders>
                    <w:top w:val="single" w:color="auto" w:sz="4" w:space="0"/>
                    <w:left w:val="single" w:color="auto" w:sz="4" w:space="0"/>
                    <w:bottom w:val="single" w:color="auto" w:sz="4" w:space="0"/>
                    <w:right w:val="single" w:color="auto" w:sz="4" w:space="0"/>
                  </w:tcBorders>
                  <w:vAlign w:val="center"/>
                </w:tcPr>
                <w:p w14:paraId="534A0002">
                  <w:pPr>
                    <w:jc w:val="center"/>
                    <w:rPr>
                      <w:rFonts w:cs="Times New Roman"/>
                      <w:color w:val="auto"/>
                      <w:sz w:val="21"/>
                      <w:szCs w:val="21"/>
                      <w:highlight w:val="none"/>
                    </w:rPr>
                  </w:pPr>
                  <w:r>
                    <w:rPr>
                      <w:rFonts w:cs="Times New Roman"/>
                      <w:color w:val="auto"/>
                      <w:sz w:val="21"/>
                      <w:szCs w:val="21"/>
                      <w:highlight w:val="none"/>
                    </w:rPr>
                    <w:t>0.0012</w:t>
                  </w:r>
                </w:p>
              </w:tc>
              <w:tc>
                <w:tcPr>
                  <w:tcW w:w="846" w:type="pct"/>
                  <w:tcBorders>
                    <w:top w:val="single" w:color="auto" w:sz="4" w:space="0"/>
                    <w:left w:val="single" w:color="auto" w:sz="4" w:space="0"/>
                    <w:bottom w:val="single" w:color="auto" w:sz="4" w:space="0"/>
                    <w:right w:val="nil"/>
                  </w:tcBorders>
                  <w:vAlign w:val="center"/>
                </w:tcPr>
                <w:p w14:paraId="58EF27B0">
                  <w:pPr>
                    <w:pStyle w:val="62"/>
                    <w:rPr>
                      <w:rFonts w:cs="Times New Roman"/>
                      <w:color w:val="auto"/>
                      <w:highlight w:val="none"/>
                    </w:rPr>
                  </w:pPr>
                  <w:r>
                    <w:rPr>
                      <w:rFonts w:cs="Times New Roman"/>
                      <w:color w:val="auto"/>
                      <w:highlight w:val="none"/>
                    </w:rPr>
                    <w:t xml:space="preserve">0.042/0.0012 </w:t>
                  </w:r>
                </w:p>
              </w:tc>
            </w:tr>
            <w:tr w14:paraId="1FB660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continue"/>
                  <w:tcBorders>
                    <w:left w:val="nil"/>
                    <w:right w:val="single" w:color="auto" w:sz="4" w:space="0"/>
                  </w:tcBorders>
                  <w:vAlign w:val="center"/>
                </w:tcPr>
                <w:p w14:paraId="4A621615">
                  <w:pPr>
                    <w:jc w:val="center"/>
                    <w:rPr>
                      <w:rFonts w:cs="Times New Roman"/>
                      <w:color w:val="auto"/>
                      <w:kern w:val="2"/>
                      <w:sz w:val="21"/>
                      <w:szCs w:val="21"/>
                      <w:highlight w:val="none"/>
                    </w:rPr>
                  </w:pPr>
                </w:p>
              </w:tc>
              <w:tc>
                <w:tcPr>
                  <w:tcW w:w="608" w:type="pct"/>
                  <w:gridSpan w:val="2"/>
                  <w:vMerge w:val="continue"/>
                  <w:tcBorders>
                    <w:top w:val="single" w:color="auto" w:sz="4" w:space="0"/>
                    <w:left w:val="single" w:color="auto" w:sz="4" w:space="0"/>
                    <w:bottom w:val="single" w:color="auto" w:sz="4" w:space="0"/>
                    <w:right w:val="single" w:color="auto" w:sz="4" w:space="0"/>
                  </w:tcBorders>
                  <w:vAlign w:val="center"/>
                </w:tcPr>
                <w:p w14:paraId="2FF5F77A">
                  <w:pPr>
                    <w:jc w:val="center"/>
                    <w:rPr>
                      <w:rFonts w:cs="Times New Roman"/>
                      <w:color w:val="auto"/>
                      <w:kern w:val="2"/>
                      <w:sz w:val="21"/>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0A23C09E">
                  <w:pPr>
                    <w:snapToGrid w:val="0"/>
                    <w:spacing w:line="260" w:lineRule="exact"/>
                    <w:jc w:val="center"/>
                    <w:rPr>
                      <w:rFonts w:cs="Times New Roman"/>
                      <w:color w:val="auto"/>
                      <w:sz w:val="21"/>
                      <w:szCs w:val="21"/>
                      <w:highlight w:val="none"/>
                    </w:rPr>
                  </w:pPr>
                  <w:r>
                    <w:rPr>
                      <w:rFonts w:cs="Times New Roman"/>
                      <w:color w:val="auto"/>
                      <w:sz w:val="21"/>
                      <w:szCs w:val="21"/>
                      <w:highlight w:val="none"/>
                    </w:rPr>
                    <w:t>氨氮</w:t>
                  </w:r>
                </w:p>
              </w:tc>
              <w:tc>
                <w:tcPr>
                  <w:tcW w:w="517" w:type="pct"/>
                  <w:tcBorders>
                    <w:top w:val="single" w:color="auto" w:sz="4" w:space="0"/>
                    <w:left w:val="single" w:color="auto" w:sz="4" w:space="0"/>
                    <w:bottom w:val="single" w:color="auto" w:sz="4" w:space="0"/>
                    <w:right w:val="single" w:color="auto" w:sz="2" w:space="0"/>
                  </w:tcBorders>
                  <w:vAlign w:val="center"/>
                </w:tcPr>
                <w:p w14:paraId="18A110D8">
                  <w:pPr>
                    <w:pStyle w:val="62"/>
                    <w:rPr>
                      <w:rFonts w:cs="Times New Roman"/>
                      <w:color w:val="auto"/>
                      <w:highlight w:val="none"/>
                    </w:rPr>
                  </w:pPr>
                  <w:r>
                    <w:rPr>
                      <w:rFonts w:cs="Times New Roman"/>
                      <w:color w:val="auto"/>
                      <w:highlight w:val="none"/>
                    </w:rPr>
                    <w:t xml:space="preserve">0.005 </w:t>
                  </w:r>
                </w:p>
              </w:tc>
              <w:tc>
                <w:tcPr>
                  <w:tcW w:w="506" w:type="pct"/>
                  <w:tcBorders>
                    <w:top w:val="single" w:color="auto" w:sz="4" w:space="0"/>
                    <w:left w:val="single" w:color="auto" w:sz="4" w:space="0"/>
                    <w:bottom w:val="single" w:color="auto" w:sz="4" w:space="0"/>
                    <w:right w:val="single" w:color="auto" w:sz="2" w:space="0"/>
                  </w:tcBorders>
                  <w:vAlign w:val="center"/>
                </w:tcPr>
                <w:p w14:paraId="760FDEB8">
                  <w:pPr>
                    <w:pStyle w:val="62"/>
                    <w:rPr>
                      <w:rFonts w:cs="Times New Roman"/>
                      <w:color w:val="auto"/>
                      <w:highlight w:val="none"/>
                    </w:rPr>
                  </w:pPr>
                  <w:r>
                    <w:rPr>
                      <w:rFonts w:cs="Times New Roman"/>
                      <w:color w:val="auto"/>
                      <w:highlight w:val="none"/>
                    </w:rPr>
                    <w:t>0</w:t>
                  </w:r>
                </w:p>
              </w:tc>
              <w:tc>
                <w:tcPr>
                  <w:tcW w:w="558" w:type="pct"/>
                  <w:tcBorders>
                    <w:top w:val="single" w:color="auto" w:sz="4" w:space="0"/>
                    <w:left w:val="single" w:color="auto" w:sz="2" w:space="0"/>
                    <w:bottom w:val="single" w:color="auto" w:sz="4" w:space="0"/>
                    <w:right w:val="single" w:color="auto" w:sz="4" w:space="0"/>
                  </w:tcBorders>
                  <w:vAlign w:val="center"/>
                </w:tcPr>
                <w:p w14:paraId="59E03825">
                  <w:pPr>
                    <w:pStyle w:val="62"/>
                    <w:rPr>
                      <w:rFonts w:cs="Times New Roman"/>
                      <w:color w:val="auto"/>
                      <w:highlight w:val="none"/>
                    </w:rPr>
                  </w:pPr>
                  <w:r>
                    <w:rPr>
                      <w:rFonts w:cs="Times New Roman"/>
                      <w:color w:val="auto"/>
                      <w:highlight w:val="none"/>
                    </w:rPr>
                    <w:t xml:space="preserve">0.005 </w:t>
                  </w:r>
                </w:p>
              </w:tc>
              <w:tc>
                <w:tcPr>
                  <w:tcW w:w="1112" w:type="pct"/>
                  <w:tcBorders>
                    <w:top w:val="single" w:color="auto" w:sz="4" w:space="0"/>
                    <w:left w:val="single" w:color="auto" w:sz="4" w:space="0"/>
                    <w:bottom w:val="single" w:color="auto" w:sz="4" w:space="0"/>
                    <w:right w:val="single" w:color="auto" w:sz="4" w:space="0"/>
                  </w:tcBorders>
                  <w:vAlign w:val="center"/>
                </w:tcPr>
                <w:p w14:paraId="09D6D4A9">
                  <w:pPr>
                    <w:jc w:val="center"/>
                    <w:rPr>
                      <w:rFonts w:cs="Times New Roman"/>
                      <w:color w:val="auto"/>
                      <w:sz w:val="21"/>
                      <w:szCs w:val="21"/>
                      <w:highlight w:val="none"/>
                    </w:rPr>
                  </w:pPr>
                  <w:r>
                    <w:rPr>
                      <w:rFonts w:cs="Times New Roman"/>
                      <w:color w:val="auto"/>
                      <w:sz w:val="21"/>
                      <w:szCs w:val="21"/>
                      <w:highlight w:val="none"/>
                    </w:rPr>
                    <w:t>0.0005</w:t>
                  </w:r>
                </w:p>
              </w:tc>
              <w:tc>
                <w:tcPr>
                  <w:tcW w:w="846" w:type="pct"/>
                  <w:tcBorders>
                    <w:top w:val="single" w:color="auto" w:sz="4" w:space="0"/>
                    <w:left w:val="single" w:color="auto" w:sz="4" w:space="0"/>
                    <w:bottom w:val="single" w:color="auto" w:sz="4" w:space="0"/>
                    <w:right w:val="nil"/>
                  </w:tcBorders>
                  <w:vAlign w:val="center"/>
                </w:tcPr>
                <w:p w14:paraId="11A91C7B">
                  <w:pPr>
                    <w:pStyle w:val="62"/>
                    <w:rPr>
                      <w:rFonts w:cs="Times New Roman"/>
                      <w:color w:val="auto"/>
                      <w:highlight w:val="none"/>
                    </w:rPr>
                  </w:pPr>
                  <w:r>
                    <w:rPr>
                      <w:rFonts w:cs="Times New Roman"/>
                      <w:color w:val="auto"/>
                      <w:highlight w:val="none"/>
                    </w:rPr>
                    <w:t>0.005/0.0005</w:t>
                  </w:r>
                </w:p>
              </w:tc>
            </w:tr>
            <w:tr w14:paraId="69D521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continue"/>
                  <w:tcBorders>
                    <w:left w:val="nil"/>
                    <w:right w:val="single" w:color="auto" w:sz="4" w:space="0"/>
                  </w:tcBorders>
                  <w:vAlign w:val="center"/>
                </w:tcPr>
                <w:p w14:paraId="3298ED45">
                  <w:pPr>
                    <w:jc w:val="center"/>
                    <w:rPr>
                      <w:rFonts w:cs="Times New Roman"/>
                      <w:color w:val="auto"/>
                      <w:kern w:val="2"/>
                      <w:sz w:val="21"/>
                      <w:szCs w:val="21"/>
                      <w:highlight w:val="none"/>
                    </w:rPr>
                  </w:pPr>
                </w:p>
              </w:tc>
              <w:tc>
                <w:tcPr>
                  <w:tcW w:w="608" w:type="pct"/>
                  <w:gridSpan w:val="2"/>
                  <w:vMerge w:val="continue"/>
                  <w:tcBorders>
                    <w:top w:val="single" w:color="auto" w:sz="4" w:space="0"/>
                    <w:left w:val="single" w:color="auto" w:sz="4" w:space="0"/>
                    <w:bottom w:val="single" w:color="auto" w:sz="4" w:space="0"/>
                    <w:right w:val="single" w:color="auto" w:sz="4" w:space="0"/>
                  </w:tcBorders>
                  <w:vAlign w:val="center"/>
                </w:tcPr>
                <w:p w14:paraId="2FD3499B">
                  <w:pPr>
                    <w:jc w:val="center"/>
                    <w:rPr>
                      <w:rFonts w:cs="Times New Roman"/>
                      <w:color w:val="auto"/>
                      <w:kern w:val="2"/>
                      <w:sz w:val="21"/>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57BB9B78">
                  <w:pPr>
                    <w:snapToGrid w:val="0"/>
                    <w:spacing w:line="260" w:lineRule="exact"/>
                    <w:jc w:val="center"/>
                    <w:rPr>
                      <w:rFonts w:cs="Times New Roman"/>
                      <w:color w:val="auto"/>
                      <w:sz w:val="21"/>
                      <w:szCs w:val="21"/>
                      <w:highlight w:val="none"/>
                    </w:rPr>
                  </w:pPr>
                  <w:r>
                    <w:rPr>
                      <w:rFonts w:cs="Times New Roman"/>
                      <w:color w:val="auto"/>
                      <w:sz w:val="21"/>
                      <w:szCs w:val="21"/>
                      <w:highlight w:val="none"/>
                    </w:rPr>
                    <w:t>总磷</w:t>
                  </w:r>
                </w:p>
              </w:tc>
              <w:tc>
                <w:tcPr>
                  <w:tcW w:w="517" w:type="pct"/>
                  <w:tcBorders>
                    <w:top w:val="single" w:color="auto" w:sz="4" w:space="0"/>
                    <w:left w:val="single" w:color="auto" w:sz="4" w:space="0"/>
                    <w:bottom w:val="single" w:color="auto" w:sz="4" w:space="0"/>
                    <w:right w:val="single" w:color="auto" w:sz="2" w:space="0"/>
                  </w:tcBorders>
                  <w:vAlign w:val="center"/>
                </w:tcPr>
                <w:p w14:paraId="53483477">
                  <w:pPr>
                    <w:pStyle w:val="62"/>
                    <w:rPr>
                      <w:rFonts w:cs="Times New Roman"/>
                      <w:color w:val="auto"/>
                      <w:highlight w:val="none"/>
                    </w:rPr>
                  </w:pPr>
                  <w:r>
                    <w:rPr>
                      <w:rFonts w:cs="Times New Roman"/>
                      <w:color w:val="auto"/>
                      <w:highlight w:val="none"/>
                    </w:rPr>
                    <w:t xml:space="preserve">0.001 </w:t>
                  </w:r>
                </w:p>
              </w:tc>
              <w:tc>
                <w:tcPr>
                  <w:tcW w:w="506" w:type="pct"/>
                  <w:tcBorders>
                    <w:top w:val="single" w:color="auto" w:sz="4" w:space="0"/>
                    <w:left w:val="single" w:color="auto" w:sz="4" w:space="0"/>
                    <w:bottom w:val="single" w:color="auto" w:sz="4" w:space="0"/>
                    <w:right w:val="single" w:color="auto" w:sz="2" w:space="0"/>
                  </w:tcBorders>
                  <w:vAlign w:val="center"/>
                </w:tcPr>
                <w:p w14:paraId="1411AC53">
                  <w:pPr>
                    <w:pStyle w:val="62"/>
                    <w:rPr>
                      <w:rFonts w:cs="Times New Roman"/>
                      <w:color w:val="auto"/>
                      <w:highlight w:val="none"/>
                    </w:rPr>
                  </w:pPr>
                  <w:r>
                    <w:rPr>
                      <w:rFonts w:cs="Times New Roman"/>
                      <w:color w:val="auto"/>
                      <w:highlight w:val="none"/>
                    </w:rPr>
                    <w:t>0</w:t>
                  </w:r>
                </w:p>
              </w:tc>
              <w:tc>
                <w:tcPr>
                  <w:tcW w:w="558" w:type="pct"/>
                  <w:tcBorders>
                    <w:top w:val="single" w:color="auto" w:sz="4" w:space="0"/>
                    <w:left w:val="single" w:color="auto" w:sz="2" w:space="0"/>
                    <w:bottom w:val="single" w:color="auto" w:sz="4" w:space="0"/>
                    <w:right w:val="single" w:color="auto" w:sz="4" w:space="0"/>
                  </w:tcBorders>
                  <w:vAlign w:val="center"/>
                </w:tcPr>
                <w:p w14:paraId="050C9FA2">
                  <w:pPr>
                    <w:pStyle w:val="62"/>
                    <w:rPr>
                      <w:rFonts w:cs="Times New Roman"/>
                      <w:color w:val="auto"/>
                      <w:highlight w:val="none"/>
                    </w:rPr>
                  </w:pPr>
                  <w:r>
                    <w:rPr>
                      <w:rFonts w:cs="Times New Roman"/>
                      <w:color w:val="auto"/>
                      <w:highlight w:val="none"/>
                    </w:rPr>
                    <w:t xml:space="preserve">0.001 </w:t>
                  </w:r>
                </w:p>
              </w:tc>
              <w:tc>
                <w:tcPr>
                  <w:tcW w:w="1112" w:type="pct"/>
                  <w:tcBorders>
                    <w:top w:val="single" w:color="auto" w:sz="4" w:space="0"/>
                    <w:left w:val="single" w:color="auto" w:sz="4" w:space="0"/>
                    <w:bottom w:val="single" w:color="auto" w:sz="4" w:space="0"/>
                    <w:right w:val="single" w:color="auto" w:sz="4" w:space="0"/>
                  </w:tcBorders>
                  <w:vAlign w:val="center"/>
                </w:tcPr>
                <w:p w14:paraId="5054B529">
                  <w:pPr>
                    <w:jc w:val="center"/>
                    <w:rPr>
                      <w:rFonts w:cs="Times New Roman"/>
                      <w:color w:val="auto"/>
                      <w:sz w:val="21"/>
                      <w:szCs w:val="21"/>
                      <w:highlight w:val="none"/>
                    </w:rPr>
                  </w:pPr>
                  <w:r>
                    <w:rPr>
                      <w:rFonts w:cs="Times New Roman"/>
                      <w:color w:val="auto"/>
                      <w:sz w:val="21"/>
                      <w:szCs w:val="21"/>
                      <w:highlight w:val="none"/>
                    </w:rPr>
                    <w:t>0.0001</w:t>
                  </w:r>
                </w:p>
              </w:tc>
              <w:tc>
                <w:tcPr>
                  <w:tcW w:w="846" w:type="pct"/>
                  <w:tcBorders>
                    <w:top w:val="single" w:color="auto" w:sz="4" w:space="0"/>
                    <w:left w:val="single" w:color="auto" w:sz="4" w:space="0"/>
                    <w:bottom w:val="single" w:color="auto" w:sz="4" w:space="0"/>
                    <w:right w:val="nil"/>
                  </w:tcBorders>
                  <w:vAlign w:val="center"/>
                </w:tcPr>
                <w:p w14:paraId="5CB6BF48">
                  <w:pPr>
                    <w:pStyle w:val="62"/>
                    <w:rPr>
                      <w:rFonts w:cs="Times New Roman"/>
                      <w:color w:val="auto"/>
                      <w:highlight w:val="none"/>
                    </w:rPr>
                  </w:pPr>
                  <w:r>
                    <w:rPr>
                      <w:rFonts w:cs="Times New Roman"/>
                      <w:color w:val="auto"/>
                      <w:highlight w:val="none"/>
                    </w:rPr>
                    <w:t xml:space="preserve">0.001/0.0001 </w:t>
                  </w:r>
                </w:p>
              </w:tc>
            </w:tr>
            <w:tr w14:paraId="2C034C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continue"/>
                  <w:tcBorders>
                    <w:left w:val="nil"/>
                    <w:right w:val="single" w:color="auto" w:sz="4" w:space="0"/>
                  </w:tcBorders>
                  <w:vAlign w:val="center"/>
                </w:tcPr>
                <w:p w14:paraId="307C6824">
                  <w:pPr>
                    <w:jc w:val="center"/>
                    <w:rPr>
                      <w:rFonts w:cs="Times New Roman"/>
                      <w:color w:val="auto"/>
                      <w:kern w:val="2"/>
                      <w:sz w:val="21"/>
                      <w:szCs w:val="21"/>
                      <w:highlight w:val="none"/>
                    </w:rPr>
                  </w:pPr>
                </w:p>
              </w:tc>
              <w:tc>
                <w:tcPr>
                  <w:tcW w:w="608" w:type="pct"/>
                  <w:gridSpan w:val="2"/>
                  <w:vMerge w:val="continue"/>
                  <w:tcBorders>
                    <w:top w:val="single" w:color="auto" w:sz="4" w:space="0"/>
                    <w:left w:val="single" w:color="auto" w:sz="4" w:space="0"/>
                    <w:bottom w:val="single" w:color="auto" w:sz="4" w:space="0"/>
                    <w:right w:val="single" w:color="auto" w:sz="4" w:space="0"/>
                  </w:tcBorders>
                  <w:vAlign w:val="center"/>
                </w:tcPr>
                <w:p w14:paraId="2FB3F90F">
                  <w:pPr>
                    <w:jc w:val="center"/>
                    <w:rPr>
                      <w:rFonts w:cs="Times New Roman"/>
                      <w:color w:val="auto"/>
                      <w:kern w:val="2"/>
                      <w:sz w:val="21"/>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26666EF8">
                  <w:pPr>
                    <w:snapToGrid w:val="0"/>
                    <w:spacing w:line="260" w:lineRule="exact"/>
                    <w:jc w:val="center"/>
                    <w:rPr>
                      <w:rFonts w:cs="Times New Roman"/>
                      <w:color w:val="auto"/>
                      <w:sz w:val="21"/>
                      <w:szCs w:val="21"/>
                      <w:highlight w:val="none"/>
                    </w:rPr>
                  </w:pPr>
                  <w:r>
                    <w:rPr>
                      <w:rFonts w:cs="Times New Roman"/>
                      <w:color w:val="auto"/>
                      <w:sz w:val="21"/>
                      <w:szCs w:val="21"/>
                      <w:highlight w:val="none"/>
                    </w:rPr>
                    <w:t>总氮</w:t>
                  </w:r>
                </w:p>
              </w:tc>
              <w:tc>
                <w:tcPr>
                  <w:tcW w:w="517" w:type="pct"/>
                  <w:tcBorders>
                    <w:top w:val="single" w:color="auto" w:sz="4" w:space="0"/>
                    <w:left w:val="single" w:color="auto" w:sz="4" w:space="0"/>
                    <w:bottom w:val="single" w:color="auto" w:sz="4" w:space="0"/>
                    <w:right w:val="single" w:color="auto" w:sz="2" w:space="0"/>
                  </w:tcBorders>
                  <w:vAlign w:val="center"/>
                </w:tcPr>
                <w:p w14:paraId="42BBF49D">
                  <w:pPr>
                    <w:pStyle w:val="62"/>
                    <w:rPr>
                      <w:rFonts w:cs="Times New Roman"/>
                      <w:color w:val="auto"/>
                      <w:highlight w:val="none"/>
                    </w:rPr>
                  </w:pPr>
                  <w:r>
                    <w:rPr>
                      <w:rFonts w:cs="Times New Roman"/>
                      <w:color w:val="auto"/>
                      <w:highlight w:val="none"/>
                    </w:rPr>
                    <w:t xml:space="preserve">0.008 </w:t>
                  </w:r>
                </w:p>
              </w:tc>
              <w:tc>
                <w:tcPr>
                  <w:tcW w:w="506" w:type="pct"/>
                  <w:tcBorders>
                    <w:top w:val="single" w:color="auto" w:sz="4" w:space="0"/>
                    <w:left w:val="single" w:color="auto" w:sz="4" w:space="0"/>
                    <w:bottom w:val="single" w:color="auto" w:sz="4" w:space="0"/>
                    <w:right w:val="single" w:color="auto" w:sz="2" w:space="0"/>
                  </w:tcBorders>
                  <w:vAlign w:val="center"/>
                </w:tcPr>
                <w:p w14:paraId="3FA400AE">
                  <w:pPr>
                    <w:pStyle w:val="62"/>
                    <w:rPr>
                      <w:rFonts w:cs="Times New Roman"/>
                      <w:color w:val="auto"/>
                      <w:highlight w:val="none"/>
                    </w:rPr>
                  </w:pPr>
                  <w:r>
                    <w:rPr>
                      <w:rFonts w:cs="Times New Roman"/>
                      <w:color w:val="auto"/>
                      <w:highlight w:val="none"/>
                    </w:rPr>
                    <w:t>0</w:t>
                  </w:r>
                </w:p>
              </w:tc>
              <w:tc>
                <w:tcPr>
                  <w:tcW w:w="558" w:type="pct"/>
                  <w:tcBorders>
                    <w:top w:val="single" w:color="auto" w:sz="4" w:space="0"/>
                    <w:left w:val="single" w:color="auto" w:sz="2" w:space="0"/>
                    <w:bottom w:val="single" w:color="auto" w:sz="4" w:space="0"/>
                    <w:right w:val="single" w:color="auto" w:sz="4" w:space="0"/>
                  </w:tcBorders>
                  <w:vAlign w:val="center"/>
                </w:tcPr>
                <w:p w14:paraId="11BADE4B">
                  <w:pPr>
                    <w:pStyle w:val="62"/>
                    <w:rPr>
                      <w:rFonts w:cs="Times New Roman"/>
                      <w:color w:val="auto"/>
                      <w:highlight w:val="none"/>
                    </w:rPr>
                  </w:pPr>
                  <w:r>
                    <w:rPr>
                      <w:rFonts w:cs="Times New Roman"/>
                      <w:color w:val="auto"/>
                      <w:highlight w:val="none"/>
                    </w:rPr>
                    <w:t xml:space="preserve">0.008 </w:t>
                  </w:r>
                </w:p>
              </w:tc>
              <w:tc>
                <w:tcPr>
                  <w:tcW w:w="1112" w:type="pct"/>
                  <w:tcBorders>
                    <w:top w:val="single" w:color="auto" w:sz="4" w:space="0"/>
                    <w:left w:val="single" w:color="auto" w:sz="4" w:space="0"/>
                    <w:bottom w:val="single" w:color="auto" w:sz="4" w:space="0"/>
                    <w:right w:val="single" w:color="auto" w:sz="4" w:space="0"/>
                  </w:tcBorders>
                  <w:vAlign w:val="center"/>
                </w:tcPr>
                <w:p w14:paraId="48EE96DF">
                  <w:pPr>
                    <w:jc w:val="center"/>
                    <w:rPr>
                      <w:rFonts w:cs="Times New Roman"/>
                      <w:color w:val="auto"/>
                      <w:sz w:val="21"/>
                      <w:szCs w:val="21"/>
                      <w:highlight w:val="none"/>
                    </w:rPr>
                  </w:pPr>
                  <w:r>
                    <w:rPr>
                      <w:rFonts w:cs="Times New Roman"/>
                      <w:color w:val="auto"/>
                      <w:sz w:val="21"/>
                      <w:szCs w:val="21"/>
                      <w:highlight w:val="none"/>
                    </w:rPr>
                    <w:t>0.0014</w:t>
                  </w:r>
                </w:p>
              </w:tc>
              <w:tc>
                <w:tcPr>
                  <w:tcW w:w="846" w:type="pct"/>
                  <w:tcBorders>
                    <w:top w:val="single" w:color="auto" w:sz="4" w:space="0"/>
                    <w:left w:val="single" w:color="auto" w:sz="4" w:space="0"/>
                    <w:bottom w:val="single" w:color="auto" w:sz="4" w:space="0"/>
                    <w:right w:val="nil"/>
                  </w:tcBorders>
                  <w:vAlign w:val="center"/>
                </w:tcPr>
                <w:p w14:paraId="041EC8A0">
                  <w:pPr>
                    <w:pStyle w:val="62"/>
                    <w:rPr>
                      <w:rFonts w:cs="Times New Roman"/>
                      <w:color w:val="auto"/>
                      <w:highlight w:val="none"/>
                    </w:rPr>
                  </w:pPr>
                  <w:r>
                    <w:rPr>
                      <w:rFonts w:cs="Times New Roman"/>
                      <w:color w:val="auto"/>
                      <w:highlight w:val="none"/>
                    </w:rPr>
                    <w:t xml:space="preserve">0.008/0.0014 </w:t>
                  </w:r>
                </w:p>
              </w:tc>
            </w:tr>
            <w:tr w14:paraId="20EB91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continue"/>
                  <w:tcBorders>
                    <w:left w:val="nil"/>
                    <w:right w:val="single" w:color="auto" w:sz="4" w:space="0"/>
                  </w:tcBorders>
                  <w:vAlign w:val="center"/>
                </w:tcPr>
                <w:p w14:paraId="15AA559F">
                  <w:pPr>
                    <w:jc w:val="center"/>
                    <w:rPr>
                      <w:rFonts w:cs="Times New Roman"/>
                      <w:color w:val="auto"/>
                      <w:kern w:val="2"/>
                      <w:sz w:val="21"/>
                      <w:szCs w:val="21"/>
                      <w:highlight w:val="none"/>
                    </w:rPr>
                  </w:pPr>
                </w:p>
              </w:tc>
              <w:tc>
                <w:tcPr>
                  <w:tcW w:w="303" w:type="pct"/>
                  <w:vMerge w:val="restart"/>
                  <w:tcBorders>
                    <w:top w:val="single" w:color="auto" w:sz="4" w:space="0"/>
                    <w:left w:val="single" w:color="auto" w:sz="4" w:space="0"/>
                    <w:right w:val="single" w:color="auto" w:sz="4" w:space="0"/>
                  </w:tcBorders>
                  <w:vAlign w:val="center"/>
                </w:tcPr>
                <w:p w14:paraId="42A37979">
                  <w:pPr>
                    <w:jc w:val="center"/>
                    <w:rPr>
                      <w:rFonts w:cs="Times New Roman"/>
                      <w:color w:val="auto"/>
                      <w:kern w:val="2"/>
                      <w:sz w:val="21"/>
                      <w:szCs w:val="21"/>
                      <w:highlight w:val="none"/>
                    </w:rPr>
                  </w:pPr>
                  <w:r>
                    <w:rPr>
                      <w:rFonts w:hint="eastAsia" w:cs="Times New Roman"/>
                      <w:color w:val="auto"/>
                      <w:kern w:val="2"/>
                      <w:sz w:val="21"/>
                      <w:szCs w:val="21"/>
                      <w:highlight w:val="none"/>
                    </w:rPr>
                    <w:t>生产废水</w:t>
                  </w:r>
                </w:p>
                <w:p w14:paraId="1477E017">
                  <w:pPr>
                    <w:jc w:val="center"/>
                    <w:rPr>
                      <w:rFonts w:cs="Times New Roman"/>
                      <w:color w:val="auto"/>
                      <w:kern w:val="2"/>
                      <w:sz w:val="21"/>
                      <w:szCs w:val="21"/>
                      <w:highlight w:val="none"/>
                    </w:rPr>
                  </w:pPr>
                </w:p>
              </w:tc>
              <w:tc>
                <w:tcPr>
                  <w:tcW w:w="305" w:type="pct"/>
                  <w:vMerge w:val="restart"/>
                  <w:tcBorders>
                    <w:top w:val="single" w:color="auto" w:sz="4" w:space="0"/>
                    <w:left w:val="single" w:color="auto" w:sz="4" w:space="0"/>
                    <w:right w:val="single" w:color="auto" w:sz="4" w:space="0"/>
                  </w:tcBorders>
                  <w:vAlign w:val="center"/>
                </w:tcPr>
                <w:p w14:paraId="55DC909F">
                  <w:pPr>
                    <w:jc w:val="center"/>
                    <w:rPr>
                      <w:color w:val="auto"/>
                      <w:sz w:val="21"/>
                      <w:szCs w:val="21"/>
                      <w:highlight w:val="none"/>
                    </w:rPr>
                  </w:pPr>
                  <w:r>
                    <w:rPr>
                      <w:rFonts w:hint="eastAsia"/>
                      <w:color w:val="auto"/>
                      <w:sz w:val="21"/>
                      <w:szCs w:val="21"/>
                      <w:highlight w:val="none"/>
                    </w:rPr>
                    <w:t>清洗废水</w:t>
                  </w:r>
                </w:p>
              </w:tc>
              <w:tc>
                <w:tcPr>
                  <w:tcW w:w="495" w:type="pct"/>
                  <w:tcBorders>
                    <w:top w:val="single" w:color="auto" w:sz="4" w:space="0"/>
                    <w:left w:val="single" w:color="auto" w:sz="4" w:space="0"/>
                    <w:bottom w:val="single" w:color="auto" w:sz="4" w:space="0"/>
                    <w:right w:val="single" w:color="auto" w:sz="4" w:space="0"/>
                  </w:tcBorders>
                  <w:vAlign w:val="center"/>
                </w:tcPr>
                <w:p w14:paraId="09A4FB6E">
                  <w:pPr>
                    <w:snapToGrid w:val="0"/>
                    <w:spacing w:line="260" w:lineRule="exact"/>
                    <w:jc w:val="center"/>
                    <w:rPr>
                      <w:rFonts w:cs="Times New Roman"/>
                      <w:color w:val="auto"/>
                      <w:sz w:val="21"/>
                      <w:szCs w:val="21"/>
                      <w:highlight w:val="none"/>
                    </w:rPr>
                  </w:pPr>
                  <w:r>
                    <w:rPr>
                      <w:rFonts w:cs="Times New Roman"/>
                      <w:color w:val="auto"/>
                      <w:sz w:val="21"/>
                      <w:szCs w:val="21"/>
                      <w:highlight w:val="none"/>
                    </w:rPr>
                    <w:t>废水量</w:t>
                  </w:r>
                </w:p>
              </w:tc>
              <w:tc>
                <w:tcPr>
                  <w:tcW w:w="517" w:type="pct"/>
                  <w:tcBorders>
                    <w:top w:val="single" w:color="auto" w:sz="4" w:space="0"/>
                    <w:left w:val="single" w:color="auto" w:sz="4" w:space="0"/>
                    <w:bottom w:val="single" w:color="auto" w:sz="4" w:space="0"/>
                    <w:right w:val="single" w:color="auto" w:sz="2" w:space="0"/>
                  </w:tcBorders>
                  <w:vAlign w:val="center"/>
                </w:tcPr>
                <w:p w14:paraId="194E725F">
                  <w:pPr>
                    <w:pStyle w:val="62"/>
                    <w:rPr>
                      <w:rFonts w:cs="Times New Roman"/>
                      <w:color w:val="auto"/>
                      <w:highlight w:val="none"/>
                    </w:rPr>
                  </w:pPr>
                  <w:r>
                    <w:rPr>
                      <w:rFonts w:cs="Times New Roman"/>
                      <w:color w:val="auto"/>
                      <w:highlight w:val="none"/>
                    </w:rPr>
                    <w:t>5100</w:t>
                  </w:r>
                </w:p>
              </w:tc>
              <w:tc>
                <w:tcPr>
                  <w:tcW w:w="506" w:type="pct"/>
                  <w:tcBorders>
                    <w:top w:val="single" w:color="auto" w:sz="4" w:space="0"/>
                    <w:left w:val="single" w:color="auto" w:sz="4" w:space="0"/>
                    <w:bottom w:val="single" w:color="auto" w:sz="4" w:space="0"/>
                    <w:right w:val="single" w:color="auto" w:sz="2" w:space="0"/>
                  </w:tcBorders>
                  <w:vAlign w:val="center"/>
                </w:tcPr>
                <w:p w14:paraId="71865DF5">
                  <w:pPr>
                    <w:pStyle w:val="62"/>
                    <w:rPr>
                      <w:rFonts w:cs="Times New Roman"/>
                      <w:color w:val="auto"/>
                      <w:highlight w:val="none"/>
                    </w:rPr>
                  </w:pPr>
                  <w:r>
                    <w:rPr>
                      <w:rFonts w:cs="Times New Roman"/>
                      <w:color w:val="auto"/>
                      <w:highlight w:val="none"/>
                    </w:rPr>
                    <w:t>5100</w:t>
                  </w:r>
                </w:p>
              </w:tc>
              <w:tc>
                <w:tcPr>
                  <w:tcW w:w="558" w:type="pct"/>
                  <w:tcBorders>
                    <w:top w:val="single" w:color="auto" w:sz="4" w:space="0"/>
                    <w:left w:val="single" w:color="auto" w:sz="2" w:space="0"/>
                    <w:bottom w:val="single" w:color="auto" w:sz="4" w:space="0"/>
                    <w:right w:val="single" w:color="auto" w:sz="4" w:space="0"/>
                  </w:tcBorders>
                  <w:vAlign w:val="center"/>
                </w:tcPr>
                <w:p w14:paraId="4ACF69BA">
                  <w:pPr>
                    <w:jc w:val="center"/>
                    <w:rPr>
                      <w:rFonts w:cs="Times New Roman"/>
                      <w:color w:val="auto"/>
                      <w:sz w:val="21"/>
                      <w:szCs w:val="21"/>
                      <w:highlight w:val="none"/>
                    </w:rPr>
                  </w:pPr>
                  <w:r>
                    <w:rPr>
                      <w:rFonts w:cs="Times New Roman"/>
                      <w:color w:val="auto"/>
                      <w:sz w:val="21"/>
                      <w:szCs w:val="21"/>
                      <w:highlight w:val="none"/>
                    </w:rPr>
                    <w:t>0</w:t>
                  </w:r>
                </w:p>
              </w:tc>
              <w:tc>
                <w:tcPr>
                  <w:tcW w:w="1112" w:type="pct"/>
                  <w:tcBorders>
                    <w:top w:val="single" w:color="auto" w:sz="4" w:space="0"/>
                    <w:left w:val="single" w:color="auto" w:sz="4" w:space="0"/>
                    <w:bottom w:val="single" w:color="auto" w:sz="4" w:space="0"/>
                    <w:right w:val="single" w:color="auto" w:sz="4" w:space="0"/>
                  </w:tcBorders>
                  <w:vAlign w:val="center"/>
                </w:tcPr>
                <w:p w14:paraId="1217E9CD">
                  <w:pPr>
                    <w:jc w:val="center"/>
                    <w:rPr>
                      <w:rFonts w:cs="Times New Roman"/>
                      <w:color w:val="auto"/>
                      <w:sz w:val="21"/>
                      <w:szCs w:val="21"/>
                      <w:highlight w:val="none"/>
                    </w:rPr>
                  </w:pPr>
                  <w:r>
                    <w:rPr>
                      <w:rFonts w:cs="Times New Roman"/>
                      <w:color w:val="auto"/>
                      <w:sz w:val="21"/>
                      <w:szCs w:val="21"/>
                      <w:highlight w:val="none"/>
                    </w:rPr>
                    <w:t>0</w:t>
                  </w:r>
                </w:p>
              </w:tc>
              <w:tc>
                <w:tcPr>
                  <w:tcW w:w="846" w:type="pct"/>
                  <w:tcBorders>
                    <w:top w:val="single" w:color="auto" w:sz="4" w:space="0"/>
                    <w:left w:val="single" w:color="auto" w:sz="4" w:space="0"/>
                    <w:bottom w:val="single" w:color="auto" w:sz="4" w:space="0"/>
                    <w:right w:val="nil"/>
                  </w:tcBorders>
                  <w:vAlign w:val="center"/>
                </w:tcPr>
                <w:p w14:paraId="3A712029">
                  <w:pPr>
                    <w:jc w:val="center"/>
                    <w:rPr>
                      <w:rFonts w:cs="Times New Roman"/>
                      <w:color w:val="auto"/>
                      <w:sz w:val="21"/>
                      <w:szCs w:val="21"/>
                      <w:highlight w:val="none"/>
                    </w:rPr>
                  </w:pPr>
                  <w:r>
                    <w:rPr>
                      <w:rFonts w:cs="Times New Roman"/>
                      <w:color w:val="auto"/>
                      <w:sz w:val="21"/>
                      <w:szCs w:val="21"/>
                      <w:highlight w:val="none"/>
                    </w:rPr>
                    <w:t>0</w:t>
                  </w:r>
                </w:p>
              </w:tc>
            </w:tr>
            <w:tr w14:paraId="3A5A07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continue"/>
                  <w:tcBorders>
                    <w:left w:val="nil"/>
                    <w:right w:val="single" w:color="auto" w:sz="4" w:space="0"/>
                  </w:tcBorders>
                  <w:vAlign w:val="center"/>
                </w:tcPr>
                <w:p w14:paraId="08413A7A">
                  <w:pPr>
                    <w:jc w:val="center"/>
                    <w:rPr>
                      <w:rFonts w:cs="Times New Roman"/>
                      <w:color w:val="auto"/>
                      <w:kern w:val="2"/>
                      <w:sz w:val="21"/>
                      <w:szCs w:val="21"/>
                      <w:highlight w:val="none"/>
                    </w:rPr>
                  </w:pPr>
                </w:p>
              </w:tc>
              <w:tc>
                <w:tcPr>
                  <w:tcW w:w="303" w:type="pct"/>
                  <w:vMerge w:val="continue"/>
                  <w:tcBorders>
                    <w:left w:val="single" w:color="auto" w:sz="4" w:space="0"/>
                    <w:right w:val="single" w:color="auto" w:sz="4" w:space="0"/>
                  </w:tcBorders>
                  <w:vAlign w:val="center"/>
                </w:tcPr>
                <w:p w14:paraId="496D0182">
                  <w:pPr>
                    <w:jc w:val="center"/>
                    <w:rPr>
                      <w:rFonts w:cs="Times New Roman"/>
                      <w:color w:val="auto"/>
                      <w:kern w:val="2"/>
                      <w:sz w:val="21"/>
                      <w:szCs w:val="21"/>
                      <w:highlight w:val="none"/>
                    </w:rPr>
                  </w:pPr>
                </w:p>
              </w:tc>
              <w:tc>
                <w:tcPr>
                  <w:tcW w:w="305" w:type="pct"/>
                  <w:vMerge w:val="continue"/>
                  <w:tcBorders>
                    <w:left w:val="single" w:color="auto" w:sz="4" w:space="0"/>
                    <w:right w:val="single" w:color="auto" w:sz="4" w:space="0"/>
                  </w:tcBorders>
                  <w:vAlign w:val="center"/>
                </w:tcPr>
                <w:p w14:paraId="75DFB1FD">
                  <w:pPr>
                    <w:jc w:val="center"/>
                    <w:rPr>
                      <w:rFonts w:cs="Times New Roman"/>
                      <w:color w:val="auto"/>
                      <w:kern w:val="2"/>
                      <w:sz w:val="21"/>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21BC27FB">
                  <w:pPr>
                    <w:jc w:val="center"/>
                    <w:rPr>
                      <w:rFonts w:cs="Times New Roman"/>
                      <w:color w:val="auto"/>
                      <w:sz w:val="21"/>
                      <w:szCs w:val="21"/>
                      <w:highlight w:val="none"/>
                    </w:rPr>
                  </w:pPr>
                  <w:r>
                    <w:rPr>
                      <w:rFonts w:hint="eastAsia"/>
                      <w:color w:val="auto"/>
                      <w:sz w:val="21"/>
                      <w:szCs w:val="21"/>
                      <w:highlight w:val="none"/>
                    </w:rPr>
                    <w:t>COD</w:t>
                  </w:r>
                </w:p>
              </w:tc>
              <w:tc>
                <w:tcPr>
                  <w:tcW w:w="517" w:type="pct"/>
                  <w:tcBorders>
                    <w:top w:val="single" w:color="auto" w:sz="4" w:space="0"/>
                    <w:left w:val="single" w:color="auto" w:sz="4" w:space="0"/>
                    <w:bottom w:val="single" w:color="auto" w:sz="4" w:space="0"/>
                    <w:right w:val="single" w:color="auto" w:sz="2" w:space="0"/>
                  </w:tcBorders>
                  <w:vAlign w:val="center"/>
                </w:tcPr>
                <w:p w14:paraId="4A567F68">
                  <w:pPr>
                    <w:pStyle w:val="58"/>
                    <w:rPr>
                      <w:rFonts w:cs="Times New Roman"/>
                      <w:color w:val="auto"/>
                      <w:szCs w:val="21"/>
                      <w:highlight w:val="none"/>
                    </w:rPr>
                  </w:pPr>
                  <w:r>
                    <w:rPr>
                      <w:rFonts w:hint="eastAsia"/>
                      <w:color w:val="auto"/>
                      <w:highlight w:val="none"/>
                    </w:rPr>
                    <w:t>1.02</w:t>
                  </w:r>
                </w:p>
              </w:tc>
              <w:tc>
                <w:tcPr>
                  <w:tcW w:w="506" w:type="pct"/>
                  <w:tcBorders>
                    <w:top w:val="single" w:color="auto" w:sz="4" w:space="0"/>
                    <w:left w:val="single" w:color="auto" w:sz="4" w:space="0"/>
                    <w:bottom w:val="single" w:color="auto" w:sz="4" w:space="0"/>
                    <w:right w:val="single" w:color="auto" w:sz="2" w:space="0"/>
                  </w:tcBorders>
                  <w:vAlign w:val="center"/>
                </w:tcPr>
                <w:p w14:paraId="73628D99">
                  <w:pPr>
                    <w:pStyle w:val="58"/>
                    <w:rPr>
                      <w:rFonts w:cs="Times New Roman"/>
                      <w:color w:val="auto"/>
                      <w:szCs w:val="21"/>
                      <w:highlight w:val="none"/>
                    </w:rPr>
                  </w:pPr>
                  <w:r>
                    <w:rPr>
                      <w:rFonts w:hint="eastAsia"/>
                      <w:color w:val="auto"/>
                      <w:highlight w:val="none"/>
                    </w:rPr>
                    <w:t>1.02</w:t>
                  </w:r>
                </w:p>
              </w:tc>
              <w:tc>
                <w:tcPr>
                  <w:tcW w:w="558" w:type="pct"/>
                  <w:tcBorders>
                    <w:top w:val="single" w:color="auto" w:sz="4" w:space="0"/>
                    <w:left w:val="single" w:color="auto" w:sz="2" w:space="0"/>
                    <w:bottom w:val="single" w:color="auto" w:sz="4" w:space="0"/>
                    <w:right w:val="single" w:color="auto" w:sz="4" w:space="0"/>
                  </w:tcBorders>
                  <w:vAlign w:val="center"/>
                </w:tcPr>
                <w:p w14:paraId="26DF181A">
                  <w:pPr>
                    <w:jc w:val="center"/>
                    <w:rPr>
                      <w:rFonts w:cs="Times New Roman"/>
                      <w:color w:val="auto"/>
                      <w:sz w:val="21"/>
                      <w:szCs w:val="21"/>
                      <w:highlight w:val="none"/>
                    </w:rPr>
                  </w:pPr>
                  <w:r>
                    <w:rPr>
                      <w:rFonts w:cs="Times New Roman"/>
                      <w:color w:val="auto"/>
                      <w:sz w:val="21"/>
                      <w:szCs w:val="21"/>
                      <w:highlight w:val="none"/>
                    </w:rPr>
                    <w:t>0</w:t>
                  </w:r>
                </w:p>
              </w:tc>
              <w:tc>
                <w:tcPr>
                  <w:tcW w:w="1112" w:type="pct"/>
                  <w:tcBorders>
                    <w:top w:val="single" w:color="auto" w:sz="4" w:space="0"/>
                    <w:left w:val="single" w:color="auto" w:sz="4" w:space="0"/>
                    <w:bottom w:val="single" w:color="auto" w:sz="4" w:space="0"/>
                    <w:right w:val="single" w:color="auto" w:sz="4" w:space="0"/>
                  </w:tcBorders>
                  <w:vAlign w:val="center"/>
                </w:tcPr>
                <w:p w14:paraId="57AC581D">
                  <w:pPr>
                    <w:jc w:val="center"/>
                    <w:rPr>
                      <w:rFonts w:cs="Times New Roman"/>
                      <w:color w:val="auto"/>
                      <w:sz w:val="21"/>
                      <w:szCs w:val="21"/>
                      <w:highlight w:val="none"/>
                    </w:rPr>
                  </w:pPr>
                  <w:r>
                    <w:rPr>
                      <w:rFonts w:cs="Times New Roman"/>
                      <w:color w:val="auto"/>
                      <w:sz w:val="21"/>
                      <w:szCs w:val="21"/>
                      <w:highlight w:val="none"/>
                    </w:rPr>
                    <w:t>0</w:t>
                  </w:r>
                </w:p>
              </w:tc>
              <w:tc>
                <w:tcPr>
                  <w:tcW w:w="846" w:type="pct"/>
                  <w:tcBorders>
                    <w:top w:val="single" w:color="auto" w:sz="4" w:space="0"/>
                    <w:left w:val="single" w:color="auto" w:sz="4" w:space="0"/>
                    <w:bottom w:val="single" w:color="auto" w:sz="4" w:space="0"/>
                    <w:right w:val="nil"/>
                  </w:tcBorders>
                  <w:vAlign w:val="center"/>
                </w:tcPr>
                <w:p w14:paraId="09BD32FF">
                  <w:pPr>
                    <w:jc w:val="center"/>
                    <w:rPr>
                      <w:rFonts w:cs="Times New Roman"/>
                      <w:color w:val="auto"/>
                      <w:sz w:val="21"/>
                      <w:szCs w:val="21"/>
                      <w:highlight w:val="none"/>
                    </w:rPr>
                  </w:pPr>
                  <w:r>
                    <w:rPr>
                      <w:rFonts w:cs="Times New Roman"/>
                      <w:color w:val="auto"/>
                      <w:sz w:val="21"/>
                      <w:szCs w:val="21"/>
                      <w:highlight w:val="none"/>
                    </w:rPr>
                    <w:t>0</w:t>
                  </w:r>
                </w:p>
              </w:tc>
            </w:tr>
            <w:tr w14:paraId="0D9C3A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continue"/>
                  <w:tcBorders>
                    <w:left w:val="nil"/>
                    <w:right w:val="single" w:color="auto" w:sz="4" w:space="0"/>
                  </w:tcBorders>
                  <w:vAlign w:val="center"/>
                </w:tcPr>
                <w:p w14:paraId="2AE543AD">
                  <w:pPr>
                    <w:jc w:val="center"/>
                    <w:rPr>
                      <w:rFonts w:cs="Times New Roman"/>
                      <w:color w:val="auto"/>
                      <w:kern w:val="2"/>
                      <w:sz w:val="21"/>
                      <w:szCs w:val="21"/>
                      <w:highlight w:val="none"/>
                    </w:rPr>
                  </w:pPr>
                </w:p>
              </w:tc>
              <w:tc>
                <w:tcPr>
                  <w:tcW w:w="303" w:type="pct"/>
                  <w:vMerge w:val="continue"/>
                  <w:tcBorders>
                    <w:left w:val="single" w:color="auto" w:sz="4" w:space="0"/>
                    <w:right w:val="single" w:color="auto" w:sz="4" w:space="0"/>
                  </w:tcBorders>
                  <w:vAlign w:val="center"/>
                </w:tcPr>
                <w:p w14:paraId="386216CB">
                  <w:pPr>
                    <w:jc w:val="center"/>
                    <w:rPr>
                      <w:rFonts w:cs="Times New Roman"/>
                      <w:color w:val="auto"/>
                      <w:kern w:val="2"/>
                      <w:sz w:val="21"/>
                      <w:szCs w:val="21"/>
                      <w:highlight w:val="none"/>
                    </w:rPr>
                  </w:pPr>
                </w:p>
              </w:tc>
              <w:tc>
                <w:tcPr>
                  <w:tcW w:w="305" w:type="pct"/>
                  <w:vMerge w:val="continue"/>
                  <w:tcBorders>
                    <w:left w:val="single" w:color="auto" w:sz="4" w:space="0"/>
                    <w:right w:val="single" w:color="auto" w:sz="4" w:space="0"/>
                  </w:tcBorders>
                  <w:vAlign w:val="center"/>
                </w:tcPr>
                <w:p w14:paraId="26114682">
                  <w:pPr>
                    <w:jc w:val="center"/>
                    <w:rPr>
                      <w:rFonts w:cs="Times New Roman"/>
                      <w:color w:val="auto"/>
                      <w:kern w:val="2"/>
                      <w:sz w:val="21"/>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7FCABE1E">
                  <w:pPr>
                    <w:jc w:val="center"/>
                    <w:rPr>
                      <w:rFonts w:cs="Times New Roman"/>
                      <w:color w:val="auto"/>
                      <w:sz w:val="21"/>
                      <w:szCs w:val="21"/>
                      <w:highlight w:val="none"/>
                    </w:rPr>
                  </w:pPr>
                  <w:r>
                    <w:rPr>
                      <w:rFonts w:hint="eastAsia"/>
                      <w:color w:val="auto"/>
                      <w:sz w:val="21"/>
                      <w:szCs w:val="21"/>
                      <w:highlight w:val="none"/>
                    </w:rPr>
                    <w:t>SS</w:t>
                  </w:r>
                </w:p>
              </w:tc>
              <w:tc>
                <w:tcPr>
                  <w:tcW w:w="517" w:type="pct"/>
                  <w:tcBorders>
                    <w:top w:val="single" w:color="auto" w:sz="4" w:space="0"/>
                    <w:left w:val="single" w:color="auto" w:sz="4" w:space="0"/>
                    <w:bottom w:val="single" w:color="auto" w:sz="4" w:space="0"/>
                    <w:right w:val="single" w:color="auto" w:sz="2" w:space="0"/>
                  </w:tcBorders>
                  <w:vAlign w:val="center"/>
                </w:tcPr>
                <w:p w14:paraId="1FEC7D63">
                  <w:pPr>
                    <w:pStyle w:val="58"/>
                    <w:rPr>
                      <w:rFonts w:cs="Times New Roman"/>
                      <w:color w:val="auto"/>
                      <w:szCs w:val="21"/>
                      <w:highlight w:val="none"/>
                    </w:rPr>
                  </w:pPr>
                  <w:r>
                    <w:rPr>
                      <w:rFonts w:hint="eastAsia"/>
                      <w:color w:val="auto"/>
                      <w:highlight w:val="none"/>
                    </w:rPr>
                    <w:t>1.785</w:t>
                  </w:r>
                </w:p>
              </w:tc>
              <w:tc>
                <w:tcPr>
                  <w:tcW w:w="506" w:type="pct"/>
                  <w:tcBorders>
                    <w:top w:val="single" w:color="auto" w:sz="4" w:space="0"/>
                    <w:left w:val="single" w:color="auto" w:sz="4" w:space="0"/>
                    <w:bottom w:val="single" w:color="auto" w:sz="4" w:space="0"/>
                    <w:right w:val="single" w:color="auto" w:sz="2" w:space="0"/>
                  </w:tcBorders>
                  <w:vAlign w:val="center"/>
                </w:tcPr>
                <w:p w14:paraId="4E92F570">
                  <w:pPr>
                    <w:pStyle w:val="58"/>
                    <w:rPr>
                      <w:rFonts w:cs="Times New Roman"/>
                      <w:color w:val="auto"/>
                      <w:szCs w:val="21"/>
                      <w:highlight w:val="none"/>
                    </w:rPr>
                  </w:pPr>
                  <w:r>
                    <w:rPr>
                      <w:rFonts w:hint="eastAsia"/>
                      <w:color w:val="auto"/>
                      <w:highlight w:val="none"/>
                    </w:rPr>
                    <w:t>1.785</w:t>
                  </w:r>
                </w:p>
              </w:tc>
              <w:tc>
                <w:tcPr>
                  <w:tcW w:w="558" w:type="pct"/>
                  <w:tcBorders>
                    <w:top w:val="single" w:color="auto" w:sz="4" w:space="0"/>
                    <w:left w:val="single" w:color="auto" w:sz="2" w:space="0"/>
                    <w:bottom w:val="single" w:color="auto" w:sz="4" w:space="0"/>
                    <w:right w:val="single" w:color="auto" w:sz="4" w:space="0"/>
                  </w:tcBorders>
                  <w:vAlign w:val="center"/>
                </w:tcPr>
                <w:p w14:paraId="76DEA58C">
                  <w:pPr>
                    <w:jc w:val="center"/>
                    <w:rPr>
                      <w:rFonts w:cs="Times New Roman"/>
                      <w:color w:val="auto"/>
                      <w:sz w:val="21"/>
                      <w:szCs w:val="21"/>
                      <w:highlight w:val="none"/>
                    </w:rPr>
                  </w:pPr>
                  <w:r>
                    <w:rPr>
                      <w:rFonts w:cs="Times New Roman"/>
                      <w:color w:val="auto"/>
                      <w:sz w:val="21"/>
                      <w:szCs w:val="21"/>
                      <w:highlight w:val="none"/>
                    </w:rPr>
                    <w:t>0</w:t>
                  </w:r>
                </w:p>
              </w:tc>
              <w:tc>
                <w:tcPr>
                  <w:tcW w:w="1112" w:type="pct"/>
                  <w:tcBorders>
                    <w:top w:val="single" w:color="auto" w:sz="4" w:space="0"/>
                    <w:left w:val="single" w:color="auto" w:sz="4" w:space="0"/>
                    <w:bottom w:val="single" w:color="auto" w:sz="4" w:space="0"/>
                    <w:right w:val="single" w:color="auto" w:sz="4" w:space="0"/>
                  </w:tcBorders>
                  <w:vAlign w:val="center"/>
                </w:tcPr>
                <w:p w14:paraId="5681E039">
                  <w:pPr>
                    <w:jc w:val="center"/>
                    <w:rPr>
                      <w:rFonts w:cs="Times New Roman"/>
                      <w:color w:val="auto"/>
                      <w:sz w:val="21"/>
                      <w:szCs w:val="21"/>
                      <w:highlight w:val="none"/>
                    </w:rPr>
                  </w:pPr>
                  <w:r>
                    <w:rPr>
                      <w:rFonts w:cs="Times New Roman"/>
                      <w:color w:val="auto"/>
                      <w:sz w:val="21"/>
                      <w:szCs w:val="21"/>
                      <w:highlight w:val="none"/>
                    </w:rPr>
                    <w:t>0</w:t>
                  </w:r>
                </w:p>
              </w:tc>
              <w:tc>
                <w:tcPr>
                  <w:tcW w:w="846" w:type="pct"/>
                  <w:tcBorders>
                    <w:top w:val="single" w:color="auto" w:sz="4" w:space="0"/>
                    <w:left w:val="single" w:color="auto" w:sz="4" w:space="0"/>
                    <w:bottom w:val="single" w:color="auto" w:sz="4" w:space="0"/>
                    <w:right w:val="nil"/>
                  </w:tcBorders>
                  <w:vAlign w:val="center"/>
                </w:tcPr>
                <w:p w14:paraId="4F83C7FE">
                  <w:pPr>
                    <w:jc w:val="center"/>
                    <w:rPr>
                      <w:rFonts w:cs="Times New Roman"/>
                      <w:color w:val="auto"/>
                      <w:sz w:val="21"/>
                      <w:szCs w:val="21"/>
                      <w:highlight w:val="none"/>
                    </w:rPr>
                  </w:pPr>
                  <w:r>
                    <w:rPr>
                      <w:rFonts w:cs="Times New Roman"/>
                      <w:color w:val="auto"/>
                      <w:sz w:val="21"/>
                      <w:szCs w:val="21"/>
                      <w:highlight w:val="none"/>
                    </w:rPr>
                    <w:t>0</w:t>
                  </w:r>
                </w:p>
              </w:tc>
            </w:tr>
            <w:tr w14:paraId="2510BC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continue"/>
                  <w:tcBorders>
                    <w:left w:val="nil"/>
                    <w:right w:val="single" w:color="auto" w:sz="4" w:space="0"/>
                  </w:tcBorders>
                  <w:vAlign w:val="center"/>
                </w:tcPr>
                <w:p w14:paraId="3D8041C4">
                  <w:pPr>
                    <w:jc w:val="center"/>
                    <w:rPr>
                      <w:rFonts w:cs="Times New Roman"/>
                      <w:color w:val="auto"/>
                      <w:kern w:val="2"/>
                      <w:sz w:val="21"/>
                      <w:szCs w:val="21"/>
                      <w:highlight w:val="none"/>
                    </w:rPr>
                  </w:pPr>
                </w:p>
              </w:tc>
              <w:tc>
                <w:tcPr>
                  <w:tcW w:w="303" w:type="pct"/>
                  <w:vMerge w:val="continue"/>
                  <w:tcBorders>
                    <w:left w:val="single" w:color="auto" w:sz="4" w:space="0"/>
                    <w:right w:val="single" w:color="auto" w:sz="4" w:space="0"/>
                  </w:tcBorders>
                  <w:vAlign w:val="center"/>
                </w:tcPr>
                <w:p w14:paraId="7C67DBA9">
                  <w:pPr>
                    <w:jc w:val="center"/>
                    <w:rPr>
                      <w:rFonts w:cs="Times New Roman"/>
                      <w:color w:val="auto"/>
                      <w:kern w:val="2"/>
                      <w:sz w:val="21"/>
                      <w:szCs w:val="21"/>
                      <w:highlight w:val="none"/>
                    </w:rPr>
                  </w:pPr>
                </w:p>
              </w:tc>
              <w:tc>
                <w:tcPr>
                  <w:tcW w:w="305" w:type="pct"/>
                  <w:vMerge w:val="restart"/>
                  <w:tcBorders>
                    <w:left w:val="single" w:color="auto" w:sz="4" w:space="0"/>
                    <w:right w:val="single" w:color="auto" w:sz="4" w:space="0"/>
                  </w:tcBorders>
                  <w:vAlign w:val="center"/>
                </w:tcPr>
                <w:p w14:paraId="3762CBF8">
                  <w:pPr>
                    <w:jc w:val="center"/>
                    <w:rPr>
                      <w:rFonts w:cs="Times New Roman"/>
                      <w:color w:val="auto"/>
                      <w:kern w:val="2"/>
                      <w:sz w:val="21"/>
                      <w:szCs w:val="21"/>
                      <w:highlight w:val="none"/>
                    </w:rPr>
                  </w:pPr>
                  <w:r>
                    <w:rPr>
                      <w:rFonts w:hint="eastAsia" w:cs="Times New Roman"/>
                      <w:color w:val="auto"/>
                      <w:kern w:val="2"/>
                      <w:sz w:val="21"/>
                      <w:szCs w:val="21"/>
                      <w:highlight w:val="none"/>
                    </w:rPr>
                    <w:t>浓水</w:t>
                  </w:r>
                </w:p>
              </w:tc>
              <w:tc>
                <w:tcPr>
                  <w:tcW w:w="495" w:type="pct"/>
                  <w:tcBorders>
                    <w:top w:val="single" w:color="auto" w:sz="4" w:space="0"/>
                    <w:left w:val="single" w:color="auto" w:sz="4" w:space="0"/>
                    <w:bottom w:val="single" w:color="auto" w:sz="4" w:space="0"/>
                    <w:right w:val="single" w:color="auto" w:sz="4" w:space="0"/>
                  </w:tcBorders>
                  <w:vAlign w:val="center"/>
                </w:tcPr>
                <w:p w14:paraId="6437C062">
                  <w:pPr>
                    <w:snapToGrid w:val="0"/>
                    <w:spacing w:line="260" w:lineRule="exact"/>
                    <w:jc w:val="center"/>
                    <w:rPr>
                      <w:rFonts w:cs="Times New Roman"/>
                      <w:color w:val="auto"/>
                      <w:sz w:val="21"/>
                      <w:szCs w:val="21"/>
                      <w:highlight w:val="none"/>
                    </w:rPr>
                  </w:pPr>
                  <w:r>
                    <w:rPr>
                      <w:rFonts w:cs="Times New Roman"/>
                      <w:color w:val="auto"/>
                      <w:sz w:val="21"/>
                      <w:szCs w:val="21"/>
                      <w:highlight w:val="none"/>
                    </w:rPr>
                    <w:t>废水量</w:t>
                  </w:r>
                </w:p>
              </w:tc>
              <w:tc>
                <w:tcPr>
                  <w:tcW w:w="517" w:type="pct"/>
                  <w:tcBorders>
                    <w:top w:val="single" w:color="auto" w:sz="4" w:space="0"/>
                    <w:left w:val="single" w:color="auto" w:sz="4" w:space="0"/>
                    <w:bottom w:val="single" w:color="auto" w:sz="4" w:space="0"/>
                    <w:right w:val="single" w:color="auto" w:sz="2" w:space="0"/>
                  </w:tcBorders>
                  <w:vAlign w:val="center"/>
                </w:tcPr>
                <w:p w14:paraId="49DC60E5">
                  <w:pPr>
                    <w:pStyle w:val="62"/>
                    <w:rPr>
                      <w:rFonts w:cs="Times New Roman"/>
                      <w:color w:val="auto"/>
                      <w:highlight w:val="none"/>
                    </w:rPr>
                  </w:pPr>
                  <w:r>
                    <w:rPr>
                      <w:rFonts w:hint="eastAsia" w:cs="Times New Roman"/>
                      <w:color w:val="auto"/>
                      <w:highlight w:val="none"/>
                    </w:rPr>
                    <w:t>102</w:t>
                  </w:r>
                </w:p>
              </w:tc>
              <w:tc>
                <w:tcPr>
                  <w:tcW w:w="506" w:type="pct"/>
                  <w:tcBorders>
                    <w:top w:val="single" w:color="auto" w:sz="4" w:space="0"/>
                    <w:left w:val="single" w:color="auto" w:sz="4" w:space="0"/>
                    <w:bottom w:val="single" w:color="auto" w:sz="4" w:space="0"/>
                    <w:right w:val="single" w:color="auto" w:sz="2" w:space="0"/>
                  </w:tcBorders>
                  <w:vAlign w:val="center"/>
                </w:tcPr>
                <w:p w14:paraId="267DFD3F">
                  <w:pPr>
                    <w:jc w:val="center"/>
                    <w:rPr>
                      <w:rFonts w:cs="Times New Roman"/>
                      <w:color w:val="auto"/>
                      <w:sz w:val="21"/>
                      <w:szCs w:val="21"/>
                      <w:highlight w:val="none"/>
                    </w:rPr>
                  </w:pPr>
                  <w:r>
                    <w:rPr>
                      <w:rFonts w:cs="Times New Roman"/>
                      <w:color w:val="auto"/>
                      <w:sz w:val="21"/>
                      <w:szCs w:val="21"/>
                      <w:highlight w:val="none"/>
                    </w:rPr>
                    <w:t>0</w:t>
                  </w:r>
                </w:p>
              </w:tc>
              <w:tc>
                <w:tcPr>
                  <w:tcW w:w="558" w:type="pct"/>
                  <w:tcBorders>
                    <w:top w:val="single" w:color="auto" w:sz="4" w:space="0"/>
                    <w:left w:val="single" w:color="auto" w:sz="2" w:space="0"/>
                    <w:bottom w:val="single" w:color="auto" w:sz="4" w:space="0"/>
                    <w:right w:val="single" w:color="auto" w:sz="4" w:space="0"/>
                  </w:tcBorders>
                  <w:shd w:val="clear" w:color="auto" w:fill="auto"/>
                  <w:vAlign w:val="center"/>
                </w:tcPr>
                <w:p w14:paraId="4A691B60">
                  <w:pPr>
                    <w:pStyle w:val="62"/>
                    <w:rPr>
                      <w:rFonts w:cs="Times New Roman"/>
                      <w:color w:val="auto"/>
                      <w:highlight w:val="none"/>
                    </w:rPr>
                  </w:pPr>
                  <w:r>
                    <w:rPr>
                      <w:rFonts w:hint="eastAsia" w:cs="Times New Roman"/>
                      <w:color w:val="auto"/>
                      <w:highlight w:val="none"/>
                    </w:rPr>
                    <w:t>102</w:t>
                  </w:r>
                </w:p>
              </w:tc>
              <w:tc>
                <w:tcPr>
                  <w:tcW w:w="1112" w:type="pct"/>
                  <w:tcBorders>
                    <w:top w:val="single" w:color="auto" w:sz="4" w:space="0"/>
                    <w:left w:val="single" w:color="auto" w:sz="4" w:space="0"/>
                    <w:bottom w:val="single" w:color="auto" w:sz="4" w:space="0"/>
                    <w:right w:val="single" w:color="auto" w:sz="4" w:space="0"/>
                  </w:tcBorders>
                  <w:vAlign w:val="center"/>
                </w:tcPr>
                <w:p w14:paraId="3D4C0246">
                  <w:pPr>
                    <w:jc w:val="center"/>
                    <w:rPr>
                      <w:rFonts w:cs="Times New Roman"/>
                      <w:color w:val="auto"/>
                      <w:sz w:val="21"/>
                      <w:szCs w:val="21"/>
                      <w:highlight w:val="none"/>
                    </w:rPr>
                  </w:pPr>
                  <w:r>
                    <w:rPr>
                      <w:rFonts w:cs="Times New Roman"/>
                      <w:color w:val="auto"/>
                      <w:sz w:val="21"/>
                      <w:szCs w:val="21"/>
                      <w:highlight w:val="none"/>
                    </w:rPr>
                    <w:t>0</w:t>
                  </w:r>
                </w:p>
              </w:tc>
              <w:tc>
                <w:tcPr>
                  <w:tcW w:w="846" w:type="pct"/>
                  <w:tcBorders>
                    <w:top w:val="single" w:color="auto" w:sz="4" w:space="0"/>
                    <w:left w:val="single" w:color="auto" w:sz="4" w:space="0"/>
                    <w:bottom w:val="single" w:color="auto" w:sz="4" w:space="0"/>
                    <w:right w:val="nil"/>
                  </w:tcBorders>
                  <w:vAlign w:val="center"/>
                </w:tcPr>
                <w:p w14:paraId="28000D73">
                  <w:pPr>
                    <w:jc w:val="center"/>
                    <w:rPr>
                      <w:rFonts w:cs="Times New Roman"/>
                      <w:color w:val="auto"/>
                      <w:sz w:val="21"/>
                      <w:szCs w:val="21"/>
                      <w:highlight w:val="none"/>
                    </w:rPr>
                  </w:pPr>
                  <w:r>
                    <w:rPr>
                      <w:rFonts w:cs="Times New Roman"/>
                      <w:color w:val="auto"/>
                      <w:sz w:val="21"/>
                      <w:szCs w:val="21"/>
                      <w:highlight w:val="none"/>
                    </w:rPr>
                    <w:t>0</w:t>
                  </w:r>
                </w:p>
              </w:tc>
            </w:tr>
            <w:tr w14:paraId="47872E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continue"/>
                  <w:tcBorders>
                    <w:left w:val="nil"/>
                    <w:right w:val="single" w:color="auto" w:sz="4" w:space="0"/>
                  </w:tcBorders>
                  <w:vAlign w:val="center"/>
                </w:tcPr>
                <w:p w14:paraId="0E15F4A1">
                  <w:pPr>
                    <w:jc w:val="center"/>
                    <w:rPr>
                      <w:rFonts w:cs="Times New Roman"/>
                      <w:color w:val="auto"/>
                      <w:kern w:val="2"/>
                      <w:sz w:val="21"/>
                      <w:szCs w:val="21"/>
                      <w:highlight w:val="none"/>
                    </w:rPr>
                  </w:pPr>
                </w:p>
              </w:tc>
              <w:tc>
                <w:tcPr>
                  <w:tcW w:w="303" w:type="pct"/>
                  <w:vMerge w:val="continue"/>
                  <w:tcBorders>
                    <w:left w:val="single" w:color="auto" w:sz="4" w:space="0"/>
                    <w:right w:val="single" w:color="auto" w:sz="4" w:space="0"/>
                  </w:tcBorders>
                  <w:vAlign w:val="center"/>
                </w:tcPr>
                <w:p w14:paraId="7B567F9A">
                  <w:pPr>
                    <w:jc w:val="center"/>
                    <w:rPr>
                      <w:rFonts w:cs="Times New Roman"/>
                      <w:color w:val="auto"/>
                      <w:kern w:val="2"/>
                      <w:sz w:val="21"/>
                      <w:szCs w:val="21"/>
                      <w:highlight w:val="none"/>
                    </w:rPr>
                  </w:pPr>
                </w:p>
              </w:tc>
              <w:tc>
                <w:tcPr>
                  <w:tcW w:w="305" w:type="pct"/>
                  <w:vMerge w:val="continue"/>
                  <w:tcBorders>
                    <w:left w:val="single" w:color="auto" w:sz="4" w:space="0"/>
                    <w:right w:val="single" w:color="auto" w:sz="4" w:space="0"/>
                  </w:tcBorders>
                  <w:vAlign w:val="center"/>
                </w:tcPr>
                <w:p w14:paraId="406A4336">
                  <w:pPr>
                    <w:jc w:val="center"/>
                    <w:rPr>
                      <w:rFonts w:cs="Times New Roman"/>
                      <w:color w:val="auto"/>
                      <w:kern w:val="2"/>
                      <w:sz w:val="21"/>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47A149A8">
                  <w:pPr>
                    <w:jc w:val="center"/>
                    <w:rPr>
                      <w:rFonts w:cs="Times New Roman"/>
                      <w:color w:val="auto"/>
                      <w:sz w:val="21"/>
                      <w:szCs w:val="21"/>
                      <w:highlight w:val="none"/>
                    </w:rPr>
                  </w:pPr>
                  <w:r>
                    <w:rPr>
                      <w:rFonts w:hint="eastAsia"/>
                      <w:color w:val="auto"/>
                      <w:sz w:val="21"/>
                      <w:szCs w:val="21"/>
                      <w:highlight w:val="none"/>
                    </w:rPr>
                    <w:t>COD</w:t>
                  </w:r>
                </w:p>
              </w:tc>
              <w:tc>
                <w:tcPr>
                  <w:tcW w:w="517" w:type="pct"/>
                  <w:tcBorders>
                    <w:top w:val="single" w:color="auto" w:sz="4" w:space="0"/>
                    <w:left w:val="single" w:color="auto" w:sz="4" w:space="0"/>
                    <w:bottom w:val="single" w:color="auto" w:sz="4" w:space="0"/>
                    <w:right w:val="single" w:color="auto" w:sz="2" w:space="0"/>
                  </w:tcBorders>
                  <w:vAlign w:val="center"/>
                </w:tcPr>
                <w:p w14:paraId="1193801C">
                  <w:pPr>
                    <w:pStyle w:val="58"/>
                    <w:rPr>
                      <w:rFonts w:cs="Times New Roman"/>
                      <w:color w:val="auto"/>
                      <w:szCs w:val="21"/>
                      <w:highlight w:val="none"/>
                    </w:rPr>
                  </w:pPr>
                  <w:r>
                    <w:rPr>
                      <w:rFonts w:hint="eastAsia"/>
                      <w:color w:val="auto"/>
                      <w:highlight w:val="none"/>
                    </w:rPr>
                    <w:t>0.0102</w:t>
                  </w:r>
                </w:p>
              </w:tc>
              <w:tc>
                <w:tcPr>
                  <w:tcW w:w="506" w:type="pct"/>
                  <w:tcBorders>
                    <w:top w:val="single" w:color="auto" w:sz="4" w:space="0"/>
                    <w:left w:val="single" w:color="auto" w:sz="4" w:space="0"/>
                    <w:bottom w:val="single" w:color="auto" w:sz="4" w:space="0"/>
                    <w:right w:val="single" w:color="auto" w:sz="2" w:space="0"/>
                  </w:tcBorders>
                  <w:vAlign w:val="center"/>
                </w:tcPr>
                <w:p w14:paraId="62A66FFC">
                  <w:pPr>
                    <w:jc w:val="center"/>
                    <w:rPr>
                      <w:rFonts w:cs="Times New Roman"/>
                      <w:color w:val="auto"/>
                      <w:sz w:val="21"/>
                      <w:szCs w:val="21"/>
                      <w:highlight w:val="none"/>
                    </w:rPr>
                  </w:pPr>
                  <w:r>
                    <w:rPr>
                      <w:rFonts w:cs="Times New Roman"/>
                      <w:color w:val="auto"/>
                      <w:sz w:val="21"/>
                      <w:szCs w:val="21"/>
                      <w:highlight w:val="none"/>
                    </w:rPr>
                    <w:t>0</w:t>
                  </w:r>
                </w:p>
              </w:tc>
              <w:tc>
                <w:tcPr>
                  <w:tcW w:w="558" w:type="pct"/>
                  <w:tcBorders>
                    <w:top w:val="single" w:color="auto" w:sz="4" w:space="0"/>
                    <w:left w:val="single" w:color="auto" w:sz="2" w:space="0"/>
                    <w:bottom w:val="single" w:color="auto" w:sz="4" w:space="0"/>
                    <w:right w:val="single" w:color="auto" w:sz="4" w:space="0"/>
                  </w:tcBorders>
                  <w:vAlign w:val="center"/>
                </w:tcPr>
                <w:p w14:paraId="26231122">
                  <w:pPr>
                    <w:pStyle w:val="58"/>
                    <w:rPr>
                      <w:rFonts w:cs="Times New Roman"/>
                      <w:color w:val="auto"/>
                      <w:szCs w:val="21"/>
                      <w:highlight w:val="none"/>
                    </w:rPr>
                  </w:pPr>
                  <w:r>
                    <w:rPr>
                      <w:rFonts w:hint="eastAsia"/>
                      <w:color w:val="auto"/>
                      <w:highlight w:val="none"/>
                    </w:rPr>
                    <w:t>0.0102</w:t>
                  </w:r>
                </w:p>
              </w:tc>
              <w:tc>
                <w:tcPr>
                  <w:tcW w:w="1112" w:type="pct"/>
                  <w:tcBorders>
                    <w:top w:val="single" w:color="auto" w:sz="4" w:space="0"/>
                    <w:left w:val="single" w:color="auto" w:sz="4" w:space="0"/>
                    <w:bottom w:val="single" w:color="auto" w:sz="4" w:space="0"/>
                    <w:right w:val="single" w:color="auto" w:sz="4" w:space="0"/>
                  </w:tcBorders>
                  <w:vAlign w:val="center"/>
                </w:tcPr>
                <w:p w14:paraId="2A54FF1F">
                  <w:pPr>
                    <w:jc w:val="center"/>
                    <w:rPr>
                      <w:rFonts w:cs="Times New Roman"/>
                      <w:color w:val="auto"/>
                      <w:sz w:val="21"/>
                      <w:szCs w:val="21"/>
                      <w:highlight w:val="none"/>
                    </w:rPr>
                  </w:pPr>
                  <w:r>
                    <w:rPr>
                      <w:rFonts w:cs="Times New Roman"/>
                      <w:color w:val="auto"/>
                      <w:sz w:val="21"/>
                      <w:szCs w:val="21"/>
                      <w:highlight w:val="none"/>
                    </w:rPr>
                    <w:t>0</w:t>
                  </w:r>
                </w:p>
              </w:tc>
              <w:tc>
                <w:tcPr>
                  <w:tcW w:w="846" w:type="pct"/>
                  <w:tcBorders>
                    <w:top w:val="single" w:color="auto" w:sz="4" w:space="0"/>
                    <w:left w:val="single" w:color="auto" w:sz="4" w:space="0"/>
                    <w:bottom w:val="single" w:color="auto" w:sz="4" w:space="0"/>
                    <w:right w:val="nil"/>
                  </w:tcBorders>
                  <w:vAlign w:val="center"/>
                </w:tcPr>
                <w:p w14:paraId="19CC23D4">
                  <w:pPr>
                    <w:jc w:val="center"/>
                    <w:rPr>
                      <w:rFonts w:cs="Times New Roman"/>
                      <w:color w:val="auto"/>
                      <w:sz w:val="21"/>
                      <w:szCs w:val="21"/>
                      <w:highlight w:val="none"/>
                    </w:rPr>
                  </w:pPr>
                  <w:r>
                    <w:rPr>
                      <w:rFonts w:cs="Times New Roman"/>
                      <w:color w:val="auto"/>
                      <w:sz w:val="21"/>
                      <w:szCs w:val="21"/>
                      <w:highlight w:val="none"/>
                    </w:rPr>
                    <w:t>0</w:t>
                  </w:r>
                </w:p>
              </w:tc>
            </w:tr>
            <w:tr w14:paraId="0BC94C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 w:type="pct"/>
                  <w:vMerge w:val="continue"/>
                  <w:tcBorders>
                    <w:left w:val="nil"/>
                    <w:bottom w:val="single" w:color="auto" w:sz="4" w:space="0"/>
                    <w:right w:val="single" w:color="auto" w:sz="4" w:space="0"/>
                  </w:tcBorders>
                  <w:vAlign w:val="center"/>
                </w:tcPr>
                <w:p w14:paraId="280208C6">
                  <w:pPr>
                    <w:jc w:val="center"/>
                    <w:rPr>
                      <w:rFonts w:cs="Times New Roman"/>
                      <w:color w:val="auto"/>
                      <w:kern w:val="2"/>
                      <w:sz w:val="21"/>
                      <w:szCs w:val="21"/>
                      <w:highlight w:val="none"/>
                    </w:rPr>
                  </w:pPr>
                </w:p>
              </w:tc>
              <w:tc>
                <w:tcPr>
                  <w:tcW w:w="303" w:type="pct"/>
                  <w:vMerge w:val="continue"/>
                  <w:tcBorders>
                    <w:left w:val="single" w:color="auto" w:sz="4" w:space="0"/>
                    <w:bottom w:val="single" w:color="auto" w:sz="4" w:space="0"/>
                    <w:right w:val="single" w:color="auto" w:sz="4" w:space="0"/>
                  </w:tcBorders>
                  <w:vAlign w:val="center"/>
                </w:tcPr>
                <w:p w14:paraId="71176AC5">
                  <w:pPr>
                    <w:jc w:val="center"/>
                    <w:rPr>
                      <w:rFonts w:cs="Times New Roman"/>
                      <w:color w:val="auto"/>
                      <w:kern w:val="2"/>
                      <w:sz w:val="21"/>
                      <w:szCs w:val="21"/>
                      <w:highlight w:val="none"/>
                    </w:rPr>
                  </w:pPr>
                </w:p>
              </w:tc>
              <w:tc>
                <w:tcPr>
                  <w:tcW w:w="305" w:type="pct"/>
                  <w:vMerge w:val="continue"/>
                  <w:tcBorders>
                    <w:left w:val="single" w:color="auto" w:sz="4" w:space="0"/>
                    <w:bottom w:val="single" w:color="auto" w:sz="4" w:space="0"/>
                    <w:right w:val="single" w:color="auto" w:sz="4" w:space="0"/>
                  </w:tcBorders>
                  <w:vAlign w:val="center"/>
                </w:tcPr>
                <w:p w14:paraId="2A67F56A">
                  <w:pPr>
                    <w:jc w:val="center"/>
                    <w:rPr>
                      <w:rFonts w:cs="Times New Roman"/>
                      <w:color w:val="auto"/>
                      <w:kern w:val="2"/>
                      <w:sz w:val="21"/>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713EA212">
                  <w:pPr>
                    <w:jc w:val="center"/>
                    <w:rPr>
                      <w:rFonts w:cs="Times New Roman"/>
                      <w:color w:val="auto"/>
                      <w:sz w:val="21"/>
                      <w:szCs w:val="21"/>
                      <w:highlight w:val="none"/>
                    </w:rPr>
                  </w:pPr>
                  <w:r>
                    <w:rPr>
                      <w:rFonts w:hint="eastAsia"/>
                      <w:color w:val="auto"/>
                      <w:sz w:val="21"/>
                      <w:szCs w:val="21"/>
                      <w:highlight w:val="none"/>
                    </w:rPr>
                    <w:t>SS</w:t>
                  </w:r>
                </w:p>
              </w:tc>
              <w:tc>
                <w:tcPr>
                  <w:tcW w:w="517" w:type="pct"/>
                  <w:tcBorders>
                    <w:top w:val="single" w:color="auto" w:sz="4" w:space="0"/>
                    <w:left w:val="single" w:color="auto" w:sz="4" w:space="0"/>
                    <w:bottom w:val="single" w:color="auto" w:sz="4" w:space="0"/>
                    <w:right w:val="single" w:color="auto" w:sz="2" w:space="0"/>
                  </w:tcBorders>
                  <w:vAlign w:val="center"/>
                </w:tcPr>
                <w:p w14:paraId="0ADC8015">
                  <w:pPr>
                    <w:pStyle w:val="58"/>
                    <w:rPr>
                      <w:rFonts w:cs="Times New Roman"/>
                      <w:color w:val="auto"/>
                      <w:szCs w:val="21"/>
                      <w:highlight w:val="none"/>
                    </w:rPr>
                  </w:pPr>
                  <w:r>
                    <w:rPr>
                      <w:color w:val="auto"/>
                      <w:highlight w:val="none"/>
                    </w:rPr>
                    <w:t>0.0</w:t>
                  </w:r>
                  <w:r>
                    <w:rPr>
                      <w:rFonts w:hint="eastAsia"/>
                      <w:color w:val="auto"/>
                      <w:highlight w:val="none"/>
                    </w:rPr>
                    <w:t>102</w:t>
                  </w:r>
                </w:p>
              </w:tc>
              <w:tc>
                <w:tcPr>
                  <w:tcW w:w="506" w:type="pct"/>
                  <w:tcBorders>
                    <w:top w:val="single" w:color="auto" w:sz="4" w:space="0"/>
                    <w:left w:val="single" w:color="auto" w:sz="4" w:space="0"/>
                    <w:bottom w:val="single" w:color="auto" w:sz="4" w:space="0"/>
                    <w:right w:val="single" w:color="auto" w:sz="2" w:space="0"/>
                  </w:tcBorders>
                  <w:vAlign w:val="center"/>
                </w:tcPr>
                <w:p w14:paraId="482A5CB3">
                  <w:pPr>
                    <w:jc w:val="center"/>
                    <w:rPr>
                      <w:rFonts w:cs="Times New Roman"/>
                      <w:color w:val="auto"/>
                      <w:sz w:val="21"/>
                      <w:szCs w:val="21"/>
                      <w:highlight w:val="none"/>
                    </w:rPr>
                  </w:pPr>
                  <w:r>
                    <w:rPr>
                      <w:rFonts w:cs="Times New Roman"/>
                      <w:color w:val="auto"/>
                      <w:sz w:val="21"/>
                      <w:szCs w:val="21"/>
                      <w:highlight w:val="none"/>
                    </w:rPr>
                    <w:t>0</w:t>
                  </w:r>
                </w:p>
              </w:tc>
              <w:tc>
                <w:tcPr>
                  <w:tcW w:w="558" w:type="pct"/>
                  <w:tcBorders>
                    <w:top w:val="single" w:color="auto" w:sz="4" w:space="0"/>
                    <w:left w:val="single" w:color="auto" w:sz="2" w:space="0"/>
                    <w:bottom w:val="single" w:color="auto" w:sz="4" w:space="0"/>
                    <w:right w:val="single" w:color="auto" w:sz="4" w:space="0"/>
                  </w:tcBorders>
                  <w:vAlign w:val="center"/>
                </w:tcPr>
                <w:p w14:paraId="1C332C46">
                  <w:pPr>
                    <w:pStyle w:val="58"/>
                    <w:rPr>
                      <w:rFonts w:cs="Times New Roman"/>
                      <w:color w:val="auto"/>
                      <w:szCs w:val="21"/>
                      <w:highlight w:val="none"/>
                    </w:rPr>
                  </w:pPr>
                  <w:r>
                    <w:rPr>
                      <w:color w:val="auto"/>
                      <w:highlight w:val="none"/>
                    </w:rPr>
                    <w:t>0.0</w:t>
                  </w:r>
                  <w:r>
                    <w:rPr>
                      <w:rFonts w:hint="eastAsia"/>
                      <w:color w:val="auto"/>
                      <w:highlight w:val="none"/>
                    </w:rPr>
                    <w:t>102</w:t>
                  </w:r>
                </w:p>
              </w:tc>
              <w:tc>
                <w:tcPr>
                  <w:tcW w:w="1112" w:type="pct"/>
                  <w:tcBorders>
                    <w:top w:val="single" w:color="auto" w:sz="4" w:space="0"/>
                    <w:left w:val="single" w:color="auto" w:sz="4" w:space="0"/>
                    <w:bottom w:val="single" w:color="auto" w:sz="4" w:space="0"/>
                    <w:right w:val="single" w:color="auto" w:sz="4" w:space="0"/>
                  </w:tcBorders>
                  <w:vAlign w:val="center"/>
                </w:tcPr>
                <w:p w14:paraId="72364CD2">
                  <w:pPr>
                    <w:jc w:val="center"/>
                    <w:rPr>
                      <w:rFonts w:cs="Times New Roman"/>
                      <w:color w:val="auto"/>
                      <w:sz w:val="21"/>
                      <w:szCs w:val="21"/>
                      <w:highlight w:val="none"/>
                    </w:rPr>
                  </w:pPr>
                  <w:r>
                    <w:rPr>
                      <w:rFonts w:cs="Times New Roman"/>
                      <w:color w:val="auto"/>
                      <w:sz w:val="21"/>
                      <w:szCs w:val="21"/>
                      <w:highlight w:val="none"/>
                    </w:rPr>
                    <w:t>0</w:t>
                  </w:r>
                </w:p>
              </w:tc>
              <w:tc>
                <w:tcPr>
                  <w:tcW w:w="846" w:type="pct"/>
                  <w:tcBorders>
                    <w:top w:val="single" w:color="auto" w:sz="4" w:space="0"/>
                    <w:left w:val="single" w:color="auto" w:sz="4" w:space="0"/>
                    <w:bottom w:val="single" w:color="auto" w:sz="4" w:space="0"/>
                    <w:right w:val="nil"/>
                  </w:tcBorders>
                  <w:vAlign w:val="center"/>
                </w:tcPr>
                <w:p w14:paraId="282E1ADD">
                  <w:pPr>
                    <w:jc w:val="center"/>
                    <w:rPr>
                      <w:rFonts w:cs="Times New Roman"/>
                      <w:color w:val="auto"/>
                      <w:sz w:val="21"/>
                      <w:szCs w:val="21"/>
                      <w:highlight w:val="none"/>
                    </w:rPr>
                  </w:pPr>
                  <w:r>
                    <w:rPr>
                      <w:rFonts w:cs="Times New Roman"/>
                      <w:color w:val="auto"/>
                      <w:sz w:val="21"/>
                      <w:szCs w:val="21"/>
                      <w:highlight w:val="none"/>
                    </w:rPr>
                    <w:t>0</w:t>
                  </w:r>
                </w:p>
              </w:tc>
            </w:tr>
            <w:tr w14:paraId="4B6740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8" w:type="pct"/>
                  <w:gridSpan w:val="4"/>
                  <w:tcBorders>
                    <w:top w:val="single" w:color="auto" w:sz="4" w:space="0"/>
                    <w:left w:val="nil"/>
                    <w:bottom w:val="single" w:color="auto" w:sz="12" w:space="0"/>
                    <w:right w:val="single" w:color="auto" w:sz="4" w:space="0"/>
                  </w:tcBorders>
                  <w:vAlign w:val="center"/>
                </w:tcPr>
                <w:p w14:paraId="4486D283">
                  <w:pPr>
                    <w:snapToGrid w:val="0"/>
                    <w:spacing w:line="260" w:lineRule="exact"/>
                    <w:jc w:val="center"/>
                    <w:rPr>
                      <w:rFonts w:cs="Times New Roman"/>
                      <w:color w:val="auto"/>
                      <w:sz w:val="21"/>
                      <w:szCs w:val="21"/>
                      <w:highlight w:val="none"/>
                    </w:rPr>
                  </w:pPr>
                  <w:r>
                    <w:rPr>
                      <w:rFonts w:cs="Times New Roman"/>
                      <w:color w:val="auto"/>
                      <w:sz w:val="21"/>
                      <w:szCs w:val="21"/>
                      <w:highlight w:val="none"/>
                    </w:rPr>
                    <w:t>固废</w:t>
                  </w:r>
                </w:p>
              </w:tc>
              <w:tc>
                <w:tcPr>
                  <w:tcW w:w="517" w:type="pct"/>
                  <w:tcBorders>
                    <w:top w:val="single" w:color="auto" w:sz="4" w:space="0"/>
                    <w:left w:val="single" w:color="auto" w:sz="4" w:space="0"/>
                    <w:bottom w:val="single" w:color="auto" w:sz="12" w:space="0"/>
                    <w:right w:val="single" w:color="auto" w:sz="2" w:space="0"/>
                  </w:tcBorders>
                  <w:vAlign w:val="center"/>
                </w:tcPr>
                <w:p w14:paraId="0346B34D">
                  <w:pPr>
                    <w:snapToGrid w:val="0"/>
                    <w:spacing w:line="260" w:lineRule="exact"/>
                    <w:jc w:val="center"/>
                    <w:rPr>
                      <w:rFonts w:cs="Times New Roman"/>
                      <w:color w:val="auto"/>
                      <w:sz w:val="21"/>
                      <w:szCs w:val="21"/>
                      <w:highlight w:val="none"/>
                    </w:rPr>
                  </w:pPr>
                  <w:r>
                    <w:rPr>
                      <w:rFonts w:hint="eastAsia" w:cs="Times New Roman"/>
                      <w:color w:val="auto"/>
                      <w:sz w:val="21"/>
                      <w:szCs w:val="21"/>
                      <w:highlight w:val="none"/>
                      <w:lang w:val="en-US" w:eastAsia="zh-CN"/>
                    </w:rPr>
                    <w:t>220.25</w:t>
                  </w:r>
                </w:p>
              </w:tc>
              <w:tc>
                <w:tcPr>
                  <w:tcW w:w="506" w:type="pct"/>
                  <w:tcBorders>
                    <w:top w:val="single" w:color="auto" w:sz="4" w:space="0"/>
                    <w:left w:val="single" w:color="auto" w:sz="4" w:space="0"/>
                    <w:bottom w:val="single" w:color="auto" w:sz="12" w:space="0"/>
                    <w:right w:val="single" w:color="auto" w:sz="2" w:space="0"/>
                  </w:tcBorders>
                  <w:vAlign w:val="center"/>
                </w:tcPr>
                <w:p w14:paraId="4A593DEE">
                  <w:pPr>
                    <w:snapToGrid w:val="0"/>
                    <w:spacing w:line="260" w:lineRule="exact"/>
                    <w:jc w:val="center"/>
                    <w:rPr>
                      <w:rFonts w:cs="Times New Roman"/>
                      <w:color w:val="auto"/>
                      <w:sz w:val="21"/>
                      <w:szCs w:val="21"/>
                      <w:highlight w:val="none"/>
                    </w:rPr>
                  </w:pPr>
                  <w:r>
                    <w:rPr>
                      <w:rFonts w:hint="eastAsia" w:cs="Times New Roman"/>
                      <w:color w:val="auto"/>
                      <w:sz w:val="21"/>
                      <w:szCs w:val="21"/>
                      <w:highlight w:val="none"/>
                      <w:lang w:val="en-US" w:eastAsia="zh-CN"/>
                    </w:rPr>
                    <w:t>220.25</w:t>
                  </w:r>
                </w:p>
              </w:tc>
              <w:tc>
                <w:tcPr>
                  <w:tcW w:w="558" w:type="pct"/>
                  <w:tcBorders>
                    <w:top w:val="single" w:color="auto" w:sz="4" w:space="0"/>
                    <w:left w:val="single" w:color="auto" w:sz="2" w:space="0"/>
                    <w:bottom w:val="single" w:color="auto" w:sz="12" w:space="0"/>
                    <w:right w:val="single" w:color="auto" w:sz="4" w:space="0"/>
                  </w:tcBorders>
                  <w:vAlign w:val="center"/>
                </w:tcPr>
                <w:p w14:paraId="5CA9ACB4">
                  <w:pPr>
                    <w:snapToGrid w:val="0"/>
                    <w:spacing w:line="260" w:lineRule="exact"/>
                    <w:jc w:val="center"/>
                    <w:rPr>
                      <w:rFonts w:cs="Times New Roman"/>
                      <w:color w:val="auto"/>
                      <w:sz w:val="21"/>
                      <w:szCs w:val="21"/>
                      <w:highlight w:val="none"/>
                    </w:rPr>
                  </w:pPr>
                  <w:r>
                    <w:rPr>
                      <w:rFonts w:cs="Times New Roman"/>
                      <w:color w:val="auto"/>
                      <w:sz w:val="21"/>
                      <w:szCs w:val="21"/>
                      <w:highlight w:val="none"/>
                    </w:rPr>
                    <w:t>-</w:t>
                  </w:r>
                </w:p>
              </w:tc>
              <w:tc>
                <w:tcPr>
                  <w:tcW w:w="1112" w:type="pct"/>
                  <w:tcBorders>
                    <w:top w:val="single" w:color="auto" w:sz="4" w:space="0"/>
                    <w:left w:val="single" w:color="auto" w:sz="4" w:space="0"/>
                    <w:bottom w:val="single" w:color="auto" w:sz="12" w:space="0"/>
                    <w:right w:val="single" w:color="auto" w:sz="4" w:space="0"/>
                  </w:tcBorders>
                  <w:vAlign w:val="center"/>
                </w:tcPr>
                <w:p w14:paraId="74534CAE">
                  <w:pPr>
                    <w:snapToGrid w:val="0"/>
                    <w:spacing w:line="260" w:lineRule="exact"/>
                    <w:jc w:val="center"/>
                    <w:rPr>
                      <w:rFonts w:cs="Times New Roman"/>
                      <w:color w:val="auto"/>
                      <w:sz w:val="21"/>
                      <w:szCs w:val="21"/>
                      <w:highlight w:val="none"/>
                    </w:rPr>
                  </w:pPr>
                  <w:r>
                    <w:rPr>
                      <w:rFonts w:cs="Times New Roman"/>
                      <w:color w:val="auto"/>
                      <w:sz w:val="21"/>
                      <w:szCs w:val="21"/>
                      <w:highlight w:val="none"/>
                    </w:rPr>
                    <w:t>0</w:t>
                  </w:r>
                </w:p>
              </w:tc>
              <w:tc>
                <w:tcPr>
                  <w:tcW w:w="846" w:type="pct"/>
                  <w:tcBorders>
                    <w:top w:val="single" w:color="auto" w:sz="4" w:space="0"/>
                    <w:left w:val="single" w:color="auto" w:sz="4" w:space="0"/>
                    <w:bottom w:val="single" w:color="auto" w:sz="12" w:space="0"/>
                    <w:right w:val="nil"/>
                  </w:tcBorders>
                  <w:vAlign w:val="center"/>
                </w:tcPr>
                <w:p w14:paraId="3AB1A081">
                  <w:pPr>
                    <w:snapToGrid w:val="0"/>
                    <w:spacing w:line="260" w:lineRule="exact"/>
                    <w:jc w:val="center"/>
                    <w:rPr>
                      <w:rFonts w:cs="Times New Roman"/>
                      <w:color w:val="auto"/>
                      <w:sz w:val="21"/>
                      <w:szCs w:val="21"/>
                      <w:highlight w:val="none"/>
                    </w:rPr>
                  </w:pPr>
                  <w:r>
                    <w:rPr>
                      <w:rFonts w:cs="Times New Roman"/>
                      <w:color w:val="auto"/>
                      <w:sz w:val="21"/>
                      <w:szCs w:val="21"/>
                      <w:highlight w:val="none"/>
                    </w:rPr>
                    <w:t>0</w:t>
                  </w:r>
                </w:p>
              </w:tc>
            </w:tr>
          </w:tbl>
          <w:p w14:paraId="533238DC">
            <w:pPr>
              <w:pStyle w:val="56"/>
              <w:ind w:firstLine="496"/>
              <w:rPr>
                <w:color w:val="auto"/>
                <w:highlight w:val="none"/>
              </w:rPr>
            </w:pPr>
            <w:r>
              <w:rPr>
                <w:rFonts w:hint="eastAsia"/>
                <w:color w:val="auto"/>
                <w:highlight w:val="none"/>
              </w:rPr>
              <w:t>注：“</w:t>
            </w:r>
            <w:r>
              <w:rPr>
                <w:color w:val="auto"/>
                <w:highlight w:val="none"/>
              </w:rPr>
              <w:t>/</w:t>
            </w:r>
            <w:r>
              <w:rPr>
                <w:rFonts w:hint="eastAsia"/>
                <w:color w:val="auto"/>
                <w:highlight w:val="none"/>
              </w:rPr>
              <w:t>”前指接管量，“</w:t>
            </w:r>
            <w:r>
              <w:rPr>
                <w:color w:val="auto"/>
                <w:highlight w:val="none"/>
              </w:rPr>
              <w:t>/</w:t>
            </w:r>
            <w:r>
              <w:rPr>
                <w:rFonts w:hint="eastAsia"/>
                <w:color w:val="auto"/>
                <w:highlight w:val="none"/>
              </w:rPr>
              <w:t>”后指排入外环境的量。</w:t>
            </w:r>
          </w:p>
          <w:p w14:paraId="48BC2052">
            <w:pPr>
              <w:pStyle w:val="56"/>
              <w:ind w:firstLine="496"/>
              <w:rPr>
                <w:rFonts w:hint="eastAsia" w:eastAsia="宋体"/>
                <w:color w:val="auto"/>
                <w:highlight w:val="none"/>
                <w:lang w:eastAsia="zh-CN"/>
              </w:rPr>
            </w:pPr>
            <w:r>
              <w:rPr>
                <w:rFonts w:hint="eastAsia"/>
                <w:color w:val="auto"/>
                <w:highlight w:val="none"/>
              </w:rPr>
              <w:t>本项目生活污水排放量为120t/a，其中COD、SS、氨氮、TP、TN接管量分别为0.054t/a、0.042t/a、0.005t/a、0.001t/a、0.008t/a；生产废水经厂内预处理系统处理后回用，</w:t>
            </w:r>
            <w:r>
              <w:rPr>
                <w:rFonts w:hint="eastAsia"/>
                <w:b/>
                <w:bCs/>
                <w:color w:val="auto"/>
                <w:highlight w:val="none"/>
              </w:rPr>
              <w:t>浓水委托江阴市奕水盈科技有限公司处置</w:t>
            </w:r>
            <w:r>
              <w:rPr>
                <w:rFonts w:hint="eastAsia"/>
                <w:b w:val="0"/>
                <w:bCs w:val="0"/>
                <w:color w:val="auto"/>
                <w:highlight w:val="none"/>
                <w:lang w:eastAsia="zh-CN"/>
              </w:rPr>
              <w:t>。</w:t>
            </w:r>
          </w:p>
          <w:p w14:paraId="7430BFCE">
            <w:pPr>
              <w:pStyle w:val="56"/>
              <w:ind w:firstLine="496"/>
              <w:rPr>
                <w:color w:val="auto"/>
                <w:highlight w:val="none"/>
              </w:rPr>
            </w:pPr>
            <w:r>
              <w:rPr>
                <w:rFonts w:hint="eastAsia"/>
                <w:color w:val="auto"/>
                <w:highlight w:val="none"/>
              </w:rPr>
              <w:t>根据总量控制原则，水污染物排放总量在月城镇内平衡。</w:t>
            </w:r>
          </w:p>
          <w:p w14:paraId="0D3B2FC2">
            <w:pPr>
              <w:pStyle w:val="56"/>
              <w:ind w:firstLine="496"/>
              <w:rPr>
                <w:color w:val="auto"/>
                <w:highlight w:val="none"/>
              </w:rPr>
            </w:pPr>
            <w:r>
              <w:rPr>
                <w:rFonts w:hint="eastAsia"/>
                <w:color w:val="auto"/>
                <w:highlight w:val="none"/>
              </w:rPr>
              <w:t>固体废物的排放总量为零，符合总量控制的要求。</w:t>
            </w:r>
          </w:p>
        </w:tc>
      </w:tr>
    </w:tbl>
    <w:p w14:paraId="5578BB46">
      <w:pPr>
        <w:adjustRightInd w:val="0"/>
        <w:snapToGrid w:val="0"/>
        <w:jc w:val="center"/>
        <w:rPr>
          <w:color w:val="auto"/>
          <w:highlight w:val="none"/>
        </w:rPr>
        <w:sectPr>
          <w:pgSz w:w="11906" w:h="16838"/>
          <w:pgMar w:top="1440" w:right="1800" w:bottom="1440" w:left="1800" w:header="851" w:footer="992" w:gutter="0"/>
          <w:pgNumType w:fmt="numberInDash"/>
          <w:cols w:space="720" w:num="1"/>
          <w:docGrid w:type="lines" w:linePitch="326" w:charSpace="0"/>
        </w:sectPr>
      </w:pPr>
    </w:p>
    <w:p w14:paraId="13B54E37">
      <w:pPr>
        <w:pStyle w:val="56"/>
        <w:ind w:firstLine="0" w:firstLineChars="0"/>
        <w:rPr>
          <w:color w:val="auto"/>
          <w:highlight w:val="none"/>
        </w:rPr>
      </w:pPr>
    </w:p>
    <w:p w14:paraId="2D864908">
      <w:pPr>
        <w:pStyle w:val="2"/>
        <w:ind w:firstLine="600"/>
        <w:jc w:val="center"/>
        <w:rPr>
          <w:snapToGrid w:val="0"/>
          <w:color w:val="auto"/>
          <w:sz w:val="30"/>
          <w:szCs w:val="30"/>
          <w:highlight w:val="none"/>
        </w:rPr>
      </w:pPr>
      <w:r>
        <w:rPr>
          <w:rFonts w:hint="eastAsia"/>
          <w:snapToGrid w:val="0"/>
          <w:color w:val="auto"/>
          <w:sz w:val="30"/>
          <w:szCs w:val="30"/>
          <w:highlight w:val="none"/>
        </w:rPr>
        <w:t>四、主要环境影响和保护措施</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7926"/>
      </w:tblGrid>
      <w:tr w14:paraId="4A58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846" w:type="dxa"/>
            <w:vAlign w:val="center"/>
          </w:tcPr>
          <w:p w14:paraId="13AC8277">
            <w:pPr>
              <w:adjustRightInd w:val="0"/>
              <w:snapToGrid w:val="0"/>
              <w:ind w:right="-34" w:rightChars="-14"/>
              <w:jc w:val="center"/>
              <w:rPr>
                <w:color w:val="auto"/>
                <w:highlight w:val="none"/>
              </w:rPr>
            </w:pPr>
            <w:r>
              <w:rPr>
                <w:rFonts w:hint="eastAsia"/>
                <w:color w:val="auto"/>
                <w:highlight w:val="none"/>
              </w:rPr>
              <w:t>施工</w:t>
            </w:r>
          </w:p>
          <w:p w14:paraId="5C15B871">
            <w:pPr>
              <w:adjustRightInd w:val="0"/>
              <w:snapToGrid w:val="0"/>
              <w:jc w:val="center"/>
              <w:rPr>
                <w:color w:val="auto"/>
                <w:highlight w:val="none"/>
              </w:rPr>
            </w:pPr>
            <w:r>
              <w:rPr>
                <w:rFonts w:hint="eastAsia"/>
                <w:color w:val="auto"/>
                <w:highlight w:val="none"/>
              </w:rPr>
              <w:t>期环</w:t>
            </w:r>
          </w:p>
          <w:p w14:paraId="48519D25">
            <w:pPr>
              <w:adjustRightInd w:val="0"/>
              <w:snapToGrid w:val="0"/>
              <w:jc w:val="center"/>
              <w:rPr>
                <w:color w:val="auto"/>
                <w:highlight w:val="none"/>
              </w:rPr>
            </w:pPr>
            <w:r>
              <w:rPr>
                <w:rFonts w:hint="eastAsia"/>
                <w:color w:val="auto"/>
                <w:highlight w:val="none"/>
              </w:rPr>
              <w:t>境保</w:t>
            </w:r>
          </w:p>
          <w:p w14:paraId="7E0662F6">
            <w:pPr>
              <w:adjustRightInd w:val="0"/>
              <w:snapToGrid w:val="0"/>
              <w:jc w:val="center"/>
              <w:rPr>
                <w:color w:val="auto"/>
                <w:highlight w:val="none"/>
              </w:rPr>
            </w:pPr>
            <w:r>
              <w:rPr>
                <w:rFonts w:hint="eastAsia"/>
                <w:color w:val="auto"/>
                <w:highlight w:val="none"/>
              </w:rPr>
              <w:t>护措</w:t>
            </w:r>
          </w:p>
          <w:p w14:paraId="560F855B">
            <w:pPr>
              <w:pStyle w:val="2"/>
              <w:jc w:val="center"/>
              <w:rPr>
                <w:color w:val="auto"/>
                <w:highlight w:val="none"/>
              </w:rPr>
            </w:pPr>
            <w:r>
              <w:rPr>
                <w:rFonts w:hint="eastAsia"/>
                <w:color w:val="auto"/>
                <w:highlight w:val="none"/>
              </w:rPr>
              <w:t>施</w:t>
            </w:r>
          </w:p>
        </w:tc>
        <w:tc>
          <w:tcPr>
            <w:tcW w:w="7450" w:type="dxa"/>
            <w:vAlign w:val="center"/>
          </w:tcPr>
          <w:p w14:paraId="2C7BD5FE">
            <w:pPr>
              <w:pStyle w:val="56"/>
              <w:ind w:firstLine="496"/>
              <w:rPr>
                <w:color w:val="auto"/>
                <w:highlight w:val="none"/>
              </w:rPr>
            </w:pPr>
            <w:r>
              <w:rPr>
                <w:rFonts w:hint="eastAsia"/>
                <w:color w:val="auto"/>
                <w:highlight w:val="none"/>
              </w:rPr>
              <w:t>本项目利用现有闲置厂房进行建设，施工期工程主要包括厂房内部布局调整、新增设备的购买、安装、调试等；公用工程和辅助工程包括贮运工程、环保工程和其它配套工程的完善建设。施工期较短，因此施工期产生的粉尘、噪声和废污水较少，经采取合理的防范措施后，对周围环境影响不大。</w:t>
            </w:r>
          </w:p>
          <w:p w14:paraId="25CD3443">
            <w:pPr>
              <w:spacing w:line="360" w:lineRule="auto"/>
              <w:ind w:firstLine="480" w:firstLineChars="200"/>
              <w:rPr>
                <w:color w:val="auto"/>
                <w:highlight w:val="none"/>
              </w:rPr>
            </w:pPr>
            <w:r>
              <w:rPr>
                <w:color w:val="auto"/>
                <w:highlight w:val="none"/>
              </w:rPr>
              <w:t>为减少施工期间对周围环境的影响，项目在设备安装施工期间，拟采用以下防治措施：</w:t>
            </w:r>
          </w:p>
          <w:p w14:paraId="4C5AB0A7">
            <w:pPr>
              <w:spacing w:line="360" w:lineRule="auto"/>
              <w:ind w:firstLine="480" w:firstLineChars="200"/>
              <w:rPr>
                <w:color w:val="auto"/>
                <w:highlight w:val="none"/>
              </w:rPr>
            </w:pPr>
            <w:r>
              <w:rPr>
                <w:color w:val="auto"/>
                <w:highlight w:val="none"/>
              </w:rPr>
              <w:t>1、洒水降尘。</w:t>
            </w:r>
          </w:p>
          <w:p w14:paraId="4E37C6FE">
            <w:pPr>
              <w:spacing w:line="360" w:lineRule="auto"/>
              <w:ind w:firstLine="480" w:firstLineChars="200"/>
              <w:rPr>
                <w:color w:val="auto"/>
                <w:highlight w:val="none"/>
              </w:rPr>
            </w:pPr>
            <w:r>
              <w:rPr>
                <w:color w:val="auto"/>
                <w:highlight w:val="none"/>
              </w:rPr>
              <w:t>2、垃圾清运到指定的堆放场所。</w:t>
            </w:r>
          </w:p>
          <w:p w14:paraId="4CD9CD53">
            <w:pPr>
              <w:spacing w:line="360" w:lineRule="auto"/>
              <w:ind w:firstLine="480" w:firstLineChars="200"/>
              <w:rPr>
                <w:color w:val="auto"/>
                <w:highlight w:val="none"/>
              </w:rPr>
            </w:pPr>
            <w:r>
              <w:rPr>
                <w:color w:val="auto"/>
                <w:highlight w:val="none"/>
              </w:rPr>
              <w:t>3、合理安排设施使用，减少噪声设备的使用时间；噪声建简易隔声屏处理。</w:t>
            </w:r>
          </w:p>
          <w:p w14:paraId="5AA6B4D4">
            <w:pPr>
              <w:spacing w:line="360" w:lineRule="auto"/>
              <w:ind w:firstLine="480" w:firstLineChars="200"/>
              <w:rPr>
                <w:color w:val="auto"/>
                <w:highlight w:val="none"/>
              </w:rPr>
            </w:pPr>
            <w:r>
              <w:rPr>
                <w:color w:val="auto"/>
                <w:highlight w:val="none"/>
              </w:rPr>
              <w:t>4、施工人员生活污水利用现有污水管网，接入</w:t>
            </w:r>
            <w:r>
              <w:rPr>
                <w:rFonts w:hint="eastAsia"/>
                <w:color w:val="auto"/>
                <w:highlight w:val="none"/>
              </w:rPr>
              <w:t>江阴市月城综合污水处理有限公司</w:t>
            </w:r>
            <w:r>
              <w:rPr>
                <w:color w:val="auto"/>
                <w:highlight w:val="none"/>
              </w:rPr>
              <w:t>集中处理。</w:t>
            </w:r>
          </w:p>
          <w:p w14:paraId="48741463">
            <w:pPr>
              <w:spacing w:line="360" w:lineRule="auto"/>
              <w:ind w:firstLine="480" w:firstLineChars="200"/>
              <w:rPr>
                <w:color w:val="auto"/>
                <w:highlight w:val="none"/>
              </w:rPr>
            </w:pPr>
            <w:r>
              <w:rPr>
                <w:color w:val="auto"/>
                <w:highlight w:val="none"/>
              </w:rPr>
              <w:t>5、施工时间安排在昼间6:00-22:00，对周围企业和居民的影响减至最低限度。</w:t>
            </w:r>
          </w:p>
          <w:p w14:paraId="283EFEF8">
            <w:pPr>
              <w:spacing w:line="360" w:lineRule="auto"/>
              <w:ind w:firstLine="480" w:firstLineChars="200"/>
              <w:rPr>
                <w:color w:val="auto"/>
                <w:highlight w:val="none"/>
              </w:rPr>
            </w:pPr>
            <w:r>
              <w:rPr>
                <w:color w:val="auto"/>
                <w:highlight w:val="none"/>
              </w:rPr>
              <w:t>本项目工程量较小，施工期短，施工期产生的废木板、废纸箱等外售综合利用，生活污水利用现有污水管网，接入</w:t>
            </w:r>
            <w:r>
              <w:rPr>
                <w:rFonts w:hint="eastAsia"/>
                <w:color w:val="auto"/>
                <w:highlight w:val="none"/>
              </w:rPr>
              <w:t>江阴市月城综合污水处理有限公司</w:t>
            </w:r>
            <w:r>
              <w:rPr>
                <w:color w:val="auto"/>
                <w:highlight w:val="none"/>
              </w:rPr>
              <w:t>集中处理</w:t>
            </w:r>
            <w:r>
              <w:rPr>
                <w:rFonts w:hint="eastAsia"/>
                <w:color w:val="auto"/>
                <w:highlight w:val="none"/>
              </w:rPr>
              <w:t>，</w:t>
            </w:r>
            <w:r>
              <w:rPr>
                <w:color w:val="auto"/>
                <w:highlight w:val="none"/>
              </w:rPr>
              <w:t>固废均能合理处置，因此施工期间对周围环境的影响较小。</w:t>
            </w:r>
          </w:p>
          <w:p w14:paraId="13C8443E">
            <w:pPr>
              <w:pStyle w:val="56"/>
              <w:ind w:firstLine="496"/>
              <w:rPr>
                <w:color w:val="auto"/>
                <w:highlight w:val="none"/>
              </w:rPr>
            </w:pPr>
          </w:p>
          <w:p w14:paraId="04EEB154">
            <w:pPr>
              <w:pStyle w:val="56"/>
              <w:ind w:firstLine="496"/>
              <w:rPr>
                <w:color w:val="auto"/>
                <w:highlight w:val="none"/>
              </w:rPr>
            </w:pPr>
          </w:p>
          <w:p w14:paraId="54159CD6">
            <w:pPr>
              <w:pStyle w:val="56"/>
              <w:ind w:firstLine="496"/>
              <w:rPr>
                <w:color w:val="auto"/>
                <w:highlight w:val="none"/>
              </w:rPr>
            </w:pPr>
          </w:p>
          <w:p w14:paraId="5C2E95DB">
            <w:pPr>
              <w:pStyle w:val="56"/>
              <w:ind w:firstLine="496"/>
              <w:rPr>
                <w:color w:val="auto"/>
                <w:highlight w:val="none"/>
              </w:rPr>
            </w:pPr>
          </w:p>
          <w:p w14:paraId="0237E3C8">
            <w:pPr>
              <w:pStyle w:val="56"/>
              <w:ind w:firstLine="496"/>
              <w:rPr>
                <w:color w:val="auto"/>
                <w:highlight w:val="none"/>
              </w:rPr>
            </w:pPr>
          </w:p>
          <w:p w14:paraId="352A0E61">
            <w:pPr>
              <w:pStyle w:val="56"/>
              <w:ind w:firstLine="496"/>
              <w:rPr>
                <w:color w:val="auto"/>
                <w:highlight w:val="none"/>
              </w:rPr>
            </w:pPr>
          </w:p>
          <w:p w14:paraId="297664DA">
            <w:pPr>
              <w:pStyle w:val="56"/>
              <w:ind w:firstLine="496"/>
              <w:rPr>
                <w:color w:val="auto"/>
                <w:highlight w:val="none"/>
              </w:rPr>
            </w:pPr>
          </w:p>
          <w:p w14:paraId="3E07BFDC">
            <w:pPr>
              <w:pStyle w:val="56"/>
              <w:ind w:firstLine="0" w:firstLineChars="0"/>
              <w:rPr>
                <w:color w:val="auto"/>
                <w:highlight w:val="none"/>
              </w:rPr>
            </w:pPr>
          </w:p>
        </w:tc>
      </w:tr>
      <w:tr w14:paraId="7E3D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trPr>
        <w:tc>
          <w:tcPr>
            <w:tcW w:w="846" w:type="dxa"/>
            <w:vAlign w:val="center"/>
          </w:tcPr>
          <w:p w14:paraId="33859EAE">
            <w:pPr>
              <w:adjustRightInd w:val="0"/>
              <w:snapToGrid w:val="0"/>
              <w:jc w:val="center"/>
              <w:rPr>
                <w:bCs/>
                <w:color w:val="auto"/>
                <w:highlight w:val="none"/>
              </w:rPr>
            </w:pPr>
            <w:r>
              <w:rPr>
                <w:rFonts w:hint="eastAsia"/>
                <w:bCs/>
                <w:color w:val="auto"/>
                <w:highlight w:val="none"/>
              </w:rPr>
              <w:t>运营</w:t>
            </w:r>
          </w:p>
          <w:p w14:paraId="28253CA6">
            <w:pPr>
              <w:adjustRightInd w:val="0"/>
              <w:snapToGrid w:val="0"/>
              <w:jc w:val="center"/>
              <w:rPr>
                <w:bCs/>
                <w:color w:val="auto"/>
                <w:highlight w:val="none"/>
              </w:rPr>
            </w:pPr>
            <w:r>
              <w:rPr>
                <w:rFonts w:hint="eastAsia"/>
                <w:bCs/>
                <w:color w:val="auto"/>
                <w:highlight w:val="none"/>
              </w:rPr>
              <w:t>期环</w:t>
            </w:r>
          </w:p>
          <w:p w14:paraId="37947210">
            <w:pPr>
              <w:adjustRightInd w:val="0"/>
              <w:snapToGrid w:val="0"/>
              <w:jc w:val="center"/>
              <w:rPr>
                <w:bCs/>
                <w:color w:val="auto"/>
                <w:highlight w:val="none"/>
              </w:rPr>
            </w:pPr>
            <w:r>
              <w:rPr>
                <w:rFonts w:hint="eastAsia"/>
                <w:bCs/>
                <w:color w:val="auto"/>
                <w:highlight w:val="none"/>
              </w:rPr>
              <w:t>境影</w:t>
            </w:r>
          </w:p>
          <w:p w14:paraId="54E8ADC6">
            <w:pPr>
              <w:adjustRightInd w:val="0"/>
              <w:snapToGrid w:val="0"/>
              <w:jc w:val="center"/>
              <w:rPr>
                <w:bCs/>
                <w:color w:val="auto"/>
                <w:highlight w:val="none"/>
              </w:rPr>
            </w:pPr>
            <w:r>
              <w:rPr>
                <w:rFonts w:hint="eastAsia"/>
                <w:bCs/>
                <w:color w:val="auto"/>
                <w:highlight w:val="none"/>
              </w:rPr>
              <w:t>响和</w:t>
            </w:r>
          </w:p>
          <w:p w14:paraId="7D5F5639">
            <w:pPr>
              <w:adjustRightInd w:val="0"/>
              <w:snapToGrid w:val="0"/>
              <w:jc w:val="center"/>
              <w:rPr>
                <w:bCs/>
                <w:color w:val="auto"/>
                <w:highlight w:val="none"/>
              </w:rPr>
            </w:pPr>
            <w:r>
              <w:rPr>
                <w:rFonts w:hint="eastAsia"/>
                <w:bCs/>
                <w:color w:val="auto"/>
                <w:highlight w:val="none"/>
              </w:rPr>
              <w:t>保护</w:t>
            </w:r>
          </w:p>
          <w:p w14:paraId="4D7BCBFB">
            <w:pPr>
              <w:pStyle w:val="2"/>
              <w:jc w:val="center"/>
              <w:rPr>
                <w:color w:val="auto"/>
                <w:highlight w:val="none"/>
              </w:rPr>
            </w:pPr>
            <w:r>
              <w:rPr>
                <w:rFonts w:hint="eastAsia"/>
                <w:bCs/>
                <w:color w:val="auto"/>
                <w:highlight w:val="none"/>
              </w:rPr>
              <w:t>措施</w:t>
            </w:r>
          </w:p>
        </w:tc>
        <w:tc>
          <w:tcPr>
            <w:tcW w:w="7450" w:type="dxa"/>
            <w:vAlign w:val="center"/>
          </w:tcPr>
          <w:p w14:paraId="214D3F04">
            <w:pPr>
              <w:pStyle w:val="56"/>
              <w:ind w:firstLine="498"/>
              <w:rPr>
                <w:b/>
                <w:color w:val="auto"/>
                <w:highlight w:val="none"/>
              </w:rPr>
            </w:pPr>
            <w:r>
              <w:rPr>
                <w:b/>
                <w:color w:val="auto"/>
                <w:highlight w:val="none"/>
              </w:rPr>
              <w:t>1</w:t>
            </w:r>
            <w:r>
              <w:rPr>
                <w:rFonts w:hint="eastAsia"/>
                <w:b/>
                <w:color w:val="auto"/>
                <w:highlight w:val="none"/>
              </w:rPr>
              <w:t>、废气</w:t>
            </w:r>
          </w:p>
          <w:p w14:paraId="2B774656">
            <w:pPr>
              <w:pStyle w:val="56"/>
              <w:ind w:firstLine="496"/>
              <w:rPr>
                <w:color w:val="auto"/>
                <w:highlight w:val="none"/>
              </w:rPr>
            </w:pPr>
            <w:r>
              <w:rPr>
                <w:rFonts w:hint="eastAsia"/>
                <w:color w:val="auto"/>
                <w:highlight w:val="none"/>
              </w:rPr>
              <w:t>本项目不涉及废气的产生和排放。</w:t>
            </w:r>
          </w:p>
          <w:p w14:paraId="19D20878">
            <w:pPr>
              <w:pStyle w:val="56"/>
              <w:ind w:firstLine="498"/>
              <w:rPr>
                <w:b/>
                <w:bCs/>
                <w:color w:val="auto"/>
                <w:highlight w:val="none"/>
              </w:rPr>
            </w:pPr>
            <w:r>
              <w:rPr>
                <w:rFonts w:hint="eastAsia"/>
                <w:b/>
                <w:bCs/>
                <w:color w:val="auto"/>
                <w:highlight w:val="none"/>
              </w:rPr>
              <w:t>2、废水</w:t>
            </w:r>
          </w:p>
          <w:p w14:paraId="299B920D">
            <w:pPr>
              <w:pStyle w:val="56"/>
              <w:ind w:firstLine="496"/>
              <w:rPr>
                <w:color w:val="auto"/>
                <w:highlight w:val="none"/>
              </w:rPr>
            </w:pPr>
            <w:r>
              <w:rPr>
                <w:rFonts w:hint="eastAsia"/>
                <w:color w:val="auto"/>
                <w:highlight w:val="none"/>
              </w:rPr>
              <w:t>本项目废水主要为水洗及离心产生的清洗废水（5100t/a）、废水处理产生的浓水（102t/a）及生活污水（120t/a）。清洗废水经厂内预处理系统处理后回用，浓水委托江阴市奕水盈科技有限公司处置；生活污水经化粪池处理后接管至江阴市月城污水处理有限公司处置。</w:t>
            </w:r>
          </w:p>
          <w:p w14:paraId="503EC7E0">
            <w:pPr>
              <w:pStyle w:val="56"/>
              <w:ind w:firstLine="498"/>
              <w:rPr>
                <w:b/>
                <w:bCs/>
                <w:color w:val="auto"/>
                <w:highlight w:val="none"/>
              </w:rPr>
            </w:pPr>
            <w:r>
              <w:rPr>
                <w:rFonts w:hint="eastAsia"/>
                <w:b/>
                <w:bCs/>
                <w:color w:val="auto"/>
                <w:highlight w:val="none"/>
              </w:rPr>
              <w:t>2.1废水产排情况</w:t>
            </w:r>
          </w:p>
          <w:p w14:paraId="1386BD56">
            <w:pPr>
              <w:pStyle w:val="56"/>
              <w:ind w:firstLine="498"/>
              <w:rPr>
                <w:b/>
                <w:bCs/>
                <w:color w:val="auto"/>
                <w:highlight w:val="none"/>
              </w:rPr>
            </w:pPr>
            <w:r>
              <w:rPr>
                <w:rFonts w:hint="eastAsia"/>
                <w:b/>
                <w:bCs/>
                <w:color w:val="auto"/>
                <w:highlight w:val="none"/>
              </w:rPr>
              <w:t>（1）各类废水产生情况</w:t>
            </w:r>
          </w:p>
          <w:p w14:paraId="331A415E">
            <w:pPr>
              <w:pStyle w:val="56"/>
              <w:ind w:firstLine="496"/>
              <w:rPr>
                <w:color w:val="auto"/>
                <w:highlight w:val="none"/>
              </w:rPr>
            </w:pPr>
            <w:r>
              <w:rPr>
                <w:rFonts w:hint="eastAsia"/>
                <w:color w:val="auto"/>
                <w:highlight w:val="none"/>
              </w:rPr>
              <w:t>①清洗废水</w:t>
            </w:r>
          </w:p>
          <w:p w14:paraId="114A84AC">
            <w:pPr>
              <w:pStyle w:val="56"/>
              <w:ind w:firstLine="496"/>
              <w:rPr>
                <w:color w:val="auto"/>
                <w:highlight w:val="none"/>
              </w:rPr>
            </w:pPr>
            <w:r>
              <w:rPr>
                <w:rFonts w:hint="eastAsia"/>
                <w:color w:val="auto"/>
                <w:highlight w:val="none"/>
              </w:rPr>
              <w:t>清洗废水经废水处理设施处理后回用，由于本项目水洗仅使用自来水，废水水质较为简单，废水处理设施处理后废水回用率约为95%，进入废水处理装置的水量约为5100t/a，制得回用水4845t/a，清洗废水主要污染因子为pH、COD及SS，参考江阴市厚正玻璃制品有限公司废水处理工程（见附件）计算得：</w:t>
            </w:r>
          </w:p>
          <w:p w14:paraId="4FB4E620">
            <w:pPr>
              <w:pStyle w:val="56"/>
              <w:ind w:firstLine="496"/>
              <w:rPr>
                <w:color w:val="auto"/>
                <w:highlight w:val="none"/>
              </w:rPr>
            </w:pPr>
            <w:r>
              <w:rPr>
                <w:rFonts w:hint="eastAsia"/>
                <w:color w:val="auto"/>
                <w:highlight w:val="none"/>
              </w:rPr>
              <w:t>②浓水</w:t>
            </w:r>
          </w:p>
          <w:p w14:paraId="30721CB6">
            <w:pPr>
              <w:pStyle w:val="56"/>
              <w:ind w:firstLine="496"/>
              <w:rPr>
                <w:color w:val="auto"/>
                <w:highlight w:val="none"/>
              </w:rPr>
            </w:pPr>
            <w:r>
              <w:rPr>
                <w:rFonts w:hint="eastAsia"/>
                <w:color w:val="auto"/>
                <w:highlight w:val="none"/>
              </w:rPr>
              <w:t>本项目清洗废水经废水处理设施处理后有部分无法回用的浓水产生，浓水产生率约为2%，主要污染因子为pH、COD及SS，参考同类型企业废水产生情况计算如下表。采用槽罐车运输至江阴市奕水盈科技有限公司集中处理，处理尾水回用于区域管网，无生产废水外排。③生活污水</w:t>
            </w:r>
          </w:p>
          <w:p w14:paraId="24C44C68">
            <w:pPr>
              <w:pStyle w:val="56"/>
              <w:ind w:firstLine="496"/>
              <w:rPr>
                <w:color w:val="auto"/>
                <w:highlight w:val="none"/>
              </w:rPr>
            </w:pPr>
            <w:r>
              <w:rPr>
                <w:rFonts w:hint="eastAsia"/>
                <w:color w:val="auto"/>
                <w:highlight w:val="none"/>
              </w:rPr>
              <w:t>生活污水经化粪池预处理后通过污水接管口接入江阴市月城综合污水处理有限公司集中处理，处理出水达《太湖地区城镇污水处理厂及重点工业行业主要水污染物排放限值》（DB32/1072-2018）表2标准和《城镇污水处理厂污染物排放标准》（GB18918-2002）表1一级A标准后排入锡澄运河。</w:t>
            </w:r>
          </w:p>
          <w:p w14:paraId="6C3D84E6">
            <w:pPr>
              <w:pStyle w:val="56"/>
              <w:ind w:firstLine="496"/>
              <w:rPr>
                <w:color w:val="auto"/>
                <w:highlight w:val="none"/>
              </w:rPr>
            </w:pPr>
            <w:r>
              <w:rPr>
                <w:rFonts w:hint="eastAsia"/>
                <w:color w:val="auto"/>
                <w:highlight w:val="none"/>
              </w:rPr>
              <w:t>（2）生产废水污染防治措施及可行性分析</w:t>
            </w:r>
          </w:p>
          <w:p w14:paraId="25F269E5">
            <w:pPr>
              <w:pStyle w:val="56"/>
              <w:ind w:firstLine="496"/>
              <w:rPr>
                <w:color w:val="auto"/>
                <w:highlight w:val="none"/>
              </w:rPr>
            </w:pPr>
            <w:r>
              <w:rPr>
                <w:rFonts w:hint="eastAsia"/>
                <w:color w:val="auto"/>
                <w:highlight w:val="none"/>
              </w:rPr>
              <w:t>A、废水处理设施</w:t>
            </w:r>
          </w:p>
          <w:p w14:paraId="5FD54683">
            <w:pPr>
              <w:pStyle w:val="56"/>
              <w:ind w:firstLine="496"/>
              <w:rPr>
                <w:color w:val="auto"/>
                <w:highlight w:val="none"/>
              </w:rPr>
            </w:pPr>
            <w:r>
              <w:rPr>
                <w:rFonts w:hint="eastAsia"/>
                <w:color w:val="auto"/>
                <w:highlight w:val="none"/>
              </w:rPr>
              <w:t>针对生产废水产生特点，新建一套50t/d废水处理设施，对清洗废水进行处理。</w:t>
            </w:r>
          </w:p>
          <w:p w14:paraId="13FF0501">
            <w:pPr>
              <w:pStyle w:val="56"/>
              <w:ind w:firstLine="496"/>
              <w:rPr>
                <w:color w:val="auto"/>
                <w:highlight w:val="none"/>
              </w:rPr>
            </w:pPr>
            <w:r>
              <w:rPr>
                <w:rFonts w:hint="eastAsia"/>
                <w:color w:val="auto"/>
                <w:highlight w:val="none"/>
              </w:rPr>
              <w:t>B、化粪池</w:t>
            </w:r>
          </w:p>
          <w:p w14:paraId="396FC30B">
            <w:pPr>
              <w:pStyle w:val="56"/>
              <w:ind w:firstLine="496"/>
              <w:jc w:val="left"/>
              <w:rPr>
                <w:color w:val="auto"/>
                <w:highlight w:val="none"/>
              </w:rPr>
            </w:pPr>
            <w:r>
              <w:rPr>
                <w:rFonts w:hint="eastAsia"/>
                <w:color w:val="auto"/>
                <w:highlight w:val="none"/>
              </w:rPr>
              <w:t>公司利用房东现有20m</w:t>
            </w:r>
            <w:r>
              <w:rPr>
                <w:rFonts w:hint="eastAsia"/>
                <w:color w:val="auto"/>
                <w:highlight w:val="none"/>
                <w:vertAlign w:val="superscript"/>
              </w:rPr>
              <w:t>3</w:t>
            </w:r>
            <w:r>
              <w:rPr>
                <w:rFonts w:hint="eastAsia"/>
                <w:color w:val="auto"/>
                <w:highlight w:val="none"/>
              </w:rPr>
              <w:t>化粪池1个，对生活污水进行简单预处理，本项目新增生活污水120t/a，利用现有化粪池对生活污水进行简单预处理，生活污水停留时间40小时，远大于24小时，故不影响现有化粪池预处理能力，本项目生活污水依托现有化粪池预处理可行。</w:t>
            </w:r>
          </w:p>
          <w:p w14:paraId="0F9A4202">
            <w:pPr>
              <w:pStyle w:val="56"/>
              <w:ind w:firstLine="496"/>
              <w:jc w:val="left"/>
              <w:rPr>
                <w:color w:val="auto"/>
                <w:highlight w:val="none"/>
              </w:rPr>
            </w:pPr>
            <w:r>
              <w:rPr>
                <w:rFonts w:hint="eastAsia"/>
                <w:color w:val="auto"/>
                <w:highlight w:val="none"/>
              </w:rPr>
              <w:t>（3）厂内废水处理方案</w:t>
            </w:r>
          </w:p>
          <w:p w14:paraId="010BBF15">
            <w:pPr>
              <w:pStyle w:val="56"/>
              <w:ind w:firstLine="496"/>
              <w:rPr>
                <w:color w:val="auto"/>
                <w:highlight w:val="none"/>
              </w:rPr>
            </w:pPr>
            <w:r>
              <w:rPr>
                <w:rFonts w:hint="eastAsia"/>
                <w:color w:val="auto"/>
                <w:highlight w:val="none"/>
              </w:rPr>
              <w:t>（3）废水处理设施出水可行性分析</w:t>
            </w:r>
          </w:p>
          <w:p w14:paraId="5205C318">
            <w:pPr>
              <w:pStyle w:val="56"/>
              <w:ind w:firstLine="496"/>
              <w:rPr>
                <w:color w:val="auto"/>
                <w:highlight w:val="none"/>
              </w:rPr>
            </w:pPr>
            <w:r>
              <w:rPr>
                <w:rFonts w:hint="eastAsia"/>
                <w:color w:val="auto"/>
                <w:highlight w:val="none"/>
              </w:rPr>
              <w:t>（4）废水排放情况</w:t>
            </w:r>
          </w:p>
          <w:p w14:paraId="421A51BA">
            <w:pPr>
              <w:spacing w:line="500" w:lineRule="exact"/>
              <w:ind w:firstLine="480" w:firstLineChars="200"/>
              <w:rPr>
                <w:color w:val="auto"/>
                <w:highlight w:val="none"/>
              </w:rPr>
            </w:pPr>
            <w:r>
              <w:rPr>
                <w:rFonts w:hint="eastAsia"/>
                <w:color w:val="auto"/>
                <w:highlight w:val="none"/>
              </w:rPr>
              <w:t>本项目废水类别、污染物及污染治理设施情况见表4-6。</w:t>
            </w:r>
          </w:p>
          <w:p w14:paraId="02C40792">
            <w:pPr>
              <w:spacing w:line="360" w:lineRule="auto"/>
              <w:ind w:firstLine="482" w:firstLineChars="200"/>
              <w:rPr>
                <w:b/>
                <w:bCs/>
                <w:color w:val="auto"/>
                <w:highlight w:val="none"/>
              </w:rPr>
            </w:pPr>
            <w:r>
              <w:rPr>
                <w:rFonts w:hint="eastAsia"/>
                <w:b/>
                <w:bCs/>
                <w:color w:val="auto"/>
                <w:highlight w:val="none"/>
              </w:rPr>
              <w:t>2.2接管可行性</w:t>
            </w:r>
            <w:r>
              <w:rPr>
                <w:rFonts w:hint="eastAsia"/>
                <w:b/>
                <w:bCs/>
                <w:snapToGrid w:val="0"/>
                <w:color w:val="auto"/>
                <w:highlight w:val="none"/>
              </w:rPr>
              <w:t>分析</w:t>
            </w:r>
          </w:p>
          <w:p w14:paraId="35631AB8">
            <w:pPr>
              <w:pStyle w:val="56"/>
              <w:ind w:firstLine="496"/>
              <w:rPr>
                <w:color w:val="auto"/>
                <w:highlight w:val="none"/>
              </w:rPr>
            </w:pPr>
            <w:r>
              <w:rPr>
                <w:rFonts w:hint="eastAsia"/>
                <w:color w:val="auto"/>
                <w:highlight w:val="none"/>
              </w:rPr>
              <w:t>（1）生产废水接管可行性分析</w:t>
            </w:r>
          </w:p>
          <w:p w14:paraId="3604E4E8">
            <w:pPr>
              <w:pStyle w:val="56"/>
              <w:ind w:firstLine="496"/>
              <w:rPr>
                <w:color w:val="auto"/>
                <w:highlight w:val="none"/>
              </w:rPr>
            </w:pPr>
            <w:r>
              <w:rPr>
                <w:rFonts w:hint="eastAsia"/>
                <w:color w:val="auto"/>
                <w:highlight w:val="none"/>
              </w:rPr>
              <w:t>本项目浓水（102t/a）先收集在厂内自备储桶中，再委采用槽罐车运输至江阴市奕水盈科技有限公司集中处理，尾水回用于区域再生水管网，无生产废水外排。</w:t>
            </w:r>
          </w:p>
          <w:p w14:paraId="74CE5D83">
            <w:pPr>
              <w:pStyle w:val="56"/>
              <w:ind w:firstLine="496"/>
              <w:rPr>
                <w:color w:val="auto"/>
                <w:highlight w:val="none"/>
              </w:rPr>
            </w:pPr>
            <w:r>
              <w:rPr>
                <w:rFonts w:hint="eastAsia"/>
                <w:color w:val="auto"/>
                <w:highlight w:val="none"/>
              </w:rPr>
              <w:t>①江阴市奕水盈科技有限公司概况</w:t>
            </w:r>
          </w:p>
          <w:p w14:paraId="2BE66480">
            <w:pPr>
              <w:pStyle w:val="56"/>
              <w:ind w:firstLine="496"/>
              <w:rPr>
                <w:color w:val="auto"/>
                <w:highlight w:val="none"/>
              </w:rPr>
            </w:pPr>
            <w:r>
              <w:rPr>
                <w:rFonts w:hint="eastAsia"/>
                <w:color w:val="auto"/>
                <w:highlight w:val="none"/>
              </w:rPr>
              <w:t>江阴市奕水盈科技有限公司成立于2020年10月，是一家致力于水环境污染防治服务的专业化企业，主营业务为配套秦望山产业园园区污水处理及再生利用，同时共享奕水盈内三效蒸发系统，解决江阴市范围内中小企业废水处理问题，实现污染物统一收集、集中治理、稳定达标零排放。2024年11月14日，经无锡市数据局审批通过《江阴市奕水盈科技有限公司集中式工业污水处理项目环境影响报告书》，该项目建设规模为接收处理秦望山产业园区外工业废水93.5t/d，经三效蒸发处理后出水若满足回用水水质标准，则进入RO产水箱直接回用区域管网，若不满足回用水水质标准则需满足污水处理区接管标准后进入污水处理区域进行深度处理，经深度处理后达《城镇污水处理厂污染物排放标准》（DB32/4440-2022）中表1中D标准、表3、表4限值和《城市污水再生利用 工业用水水质》（GB/T19923-2024）标准及《工业循环冷却水处理</w:t>
            </w:r>
            <w:r>
              <w:rPr>
                <w:rFonts w:hint="eastAsia"/>
                <w:color w:val="auto"/>
                <w:highlight w:val="none"/>
                <w:lang w:val="en-US" w:eastAsia="zh-CN"/>
              </w:rPr>
              <w:t>设计</w:t>
            </w:r>
            <w:r>
              <w:rPr>
                <w:rFonts w:hint="eastAsia"/>
                <w:color w:val="auto"/>
                <w:highlight w:val="none"/>
              </w:rPr>
              <w:t>规范》（GB/T50050-2017）中再生水冷却补水中较严格的标准后回用于秦望山产业园内工业企业，不外排。具体处理工艺见图4-3。</w:t>
            </w:r>
          </w:p>
          <w:p w14:paraId="138CB168">
            <w:pPr>
              <w:pStyle w:val="56"/>
              <w:ind w:firstLine="0" w:firstLineChars="0"/>
              <w:jc w:val="center"/>
              <w:rPr>
                <w:color w:val="auto"/>
                <w:highlight w:val="none"/>
              </w:rPr>
            </w:pPr>
            <w:r>
              <w:rPr>
                <w:rFonts w:hint="eastAsia"/>
                <w:color w:val="auto"/>
                <w:highlight w:val="none"/>
              </w:rPr>
              <w:drawing>
                <wp:inline distT="0" distB="0" distL="0" distR="0">
                  <wp:extent cx="5772150" cy="3553460"/>
                  <wp:effectExtent l="0" t="0" r="8890" b="0"/>
                  <wp:docPr id="1447438661" name="图片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38661" name="图片 802"/>
                          <pic:cNvPicPr>
                            <a:picLocks noChangeAspect="1" noChangeArrowheads="1"/>
                          </pic:cNvPicPr>
                        </pic:nvPicPr>
                        <pic:blipFill>
                          <a:blip r:embed="rId9"/>
                          <a:srcRect/>
                          <a:stretch>
                            <a:fillRect/>
                          </a:stretch>
                        </pic:blipFill>
                        <pic:spPr>
                          <a:xfrm rot="16200000">
                            <a:off x="0" y="0"/>
                            <a:ext cx="5772150" cy="3553460"/>
                          </a:xfrm>
                          <a:prstGeom prst="rect">
                            <a:avLst/>
                          </a:prstGeom>
                          <a:noFill/>
                          <a:ln>
                            <a:noFill/>
                          </a:ln>
                        </pic:spPr>
                      </pic:pic>
                    </a:graphicData>
                  </a:graphic>
                </wp:inline>
              </w:drawing>
            </w:r>
          </w:p>
          <w:p w14:paraId="177EAFBD">
            <w:pPr>
              <w:pStyle w:val="56"/>
              <w:ind w:firstLine="0" w:firstLineChars="0"/>
              <w:jc w:val="center"/>
              <w:rPr>
                <w:b/>
                <w:bCs/>
                <w:color w:val="auto"/>
                <w:highlight w:val="none"/>
              </w:rPr>
            </w:pPr>
            <w:r>
              <w:rPr>
                <w:rFonts w:hint="eastAsia"/>
                <w:b/>
                <w:bCs/>
                <w:color w:val="auto"/>
                <w:highlight w:val="none"/>
              </w:rPr>
              <w:t>图4-3 江阴市奕水盈科技有限公司污水处理工艺流程图</w:t>
            </w:r>
          </w:p>
          <w:p w14:paraId="7228932D">
            <w:pPr>
              <w:pStyle w:val="56"/>
              <w:ind w:firstLine="496"/>
              <w:rPr>
                <w:color w:val="auto"/>
                <w:highlight w:val="none"/>
              </w:rPr>
            </w:pPr>
            <w:r>
              <w:rPr>
                <w:rFonts w:hint="eastAsia"/>
                <w:color w:val="auto"/>
                <w:highlight w:val="none"/>
              </w:rPr>
              <w:t>②江阴市奕水盈科技有限公司外接工业废水收水范围及收水水质</w:t>
            </w:r>
          </w:p>
          <w:p w14:paraId="19A31FAC">
            <w:pPr>
              <w:pStyle w:val="56"/>
              <w:ind w:firstLine="496"/>
              <w:rPr>
                <w:color w:val="auto"/>
                <w:highlight w:val="none"/>
              </w:rPr>
            </w:pPr>
            <w:r>
              <w:rPr>
                <w:rFonts w:hint="eastAsia"/>
                <w:color w:val="auto"/>
                <w:highlight w:val="none"/>
              </w:rPr>
              <w:t>江阴市奕水盈科技有限公司外接工业废水收水范围为：除秦望山产业园外，江阴市市域内中小工业企业产生的工业废水，以解决江阴市范围内中小企业废水处理问题，实现污染物统一收集、集中治理、稳定达标零排放。</w:t>
            </w:r>
          </w:p>
          <w:p w14:paraId="2202BE29">
            <w:pPr>
              <w:pStyle w:val="56"/>
              <w:ind w:firstLine="496"/>
              <w:rPr>
                <w:color w:val="auto"/>
                <w:highlight w:val="none"/>
              </w:rPr>
            </w:pPr>
            <w:r>
              <w:rPr>
                <w:rFonts w:hint="eastAsia"/>
                <w:color w:val="auto"/>
                <w:highlight w:val="none"/>
              </w:rPr>
              <w:t>江阴市奕水盈科技有限公司外接工业废水入厂控制标准见表4-7。</w:t>
            </w:r>
          </w:p>
          <w:p w14:paraId="5E45F8F8">
            <w:pPr>
              <w:pStyle w:val="56"/>
              <w:ind w:firstLine="0" w:firstLineChars="0"/>
              <w:jc w:val="center"/>
              <w:rPr>
                <w:b/>
                <w:bCs/>
                <w:color w:val="auto"/>
                <w:highlight w:val="none"/>
              </w:rPr>
            </w:pPr>
            <w:r>
              <w:rPr>
                <w:rFonts w:hint="eastAsia"/>
                <w:b/>
                <w:bCs/>
                <w:color w:val="auto"/>
                <w:highlight w:val="none"/>
              </w:rPr>
              <w:t>表4-7 江阴市奕水盈科技有限公司工业废水入厂标准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2520"/>
              <w:gridCol w:w="2581"/>
            </w:tblGrid>
            <w:tr w14:paraId="4841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0" w:type="dxa"/>
                  <w:tcBorders>
                    <w:top w:val="single" w:color="auto" w:sz="12" w:space="0"/>
                    <w:left w:val="nil"/>
                    <w:bottom w:val="single" w:color="auto" w:sz="12" w:space="0"/>
                  </w:tcBorders>
                  <w:vAlign w:val="center"/>
                </w:tcPr>
                <w:p w14:paraId="3D6D2646">
                  <w:pPr>
                    <w:pStyle w:val="62"/>
                    <w:rPr>
                      <w:b/>
                      <w:bCs/>
                      <w:color w:val="auto"/>
                      <w:highlight w:val="none"/>
                    </w:rPr>
                  </w:pPr>
                  <w:r>
                    <w:rPr>
                      <w:rFonts w:hint="eastAsia"/>
                      <w:b/>
                      <w:bCs/>
                      <w:color w:val="auto"/>
                      <w:highlight w:val="none"/>
                    </w:rPr>
                    <w:t>控制项目</w:t>
                  </w:r>
                </w:p>
              </w:tc>
              <w:tc>
                <w:tcPr>
                  <w:tcW w:w="2798" w:type="dxa"/>
                  <w:tcBorders>
                    <w:top w:val="single" w:color="auto" w:sz="12" w:space="0"/>
                    <w:bottom w:val="single" w:color="auto" w:sz="12" w:space="0"/>
                  </w:tcBorders>
                  <w:vAlign w:val="center"/>
                </w:tcPr>
                <w:p w14:paraId="1F621FA7">
                  <w:pPr>
                    <w:pStyle w:val="62"/>
                    <w:rPr>
                      <w:b/>
                      <w:bCs/>
                      <w:color w:val="auto"/>
                      <w:highlight w:val="none"/>
                    </w:rPr>
                  </w:pPr>
                  <w:r>
                    <w:rPr>
                      <w:rFonts w:hint="eastAsia"/>
                      <w:b/>
                      <w:bCs/>
                      <w:color w:val="auto"/>
                      <w:highlight w:val="none"/>
                    </w:rPr>
                    <w:t>单位</w:t>
                  </w:r>
                </w:p>
              </w:tc>
              <w:tc>
                <w:tcPr>
                  <w:tcW w:w="2873" w:type="dxa"/>
                  <w:tcBorders>
                    <w:top w:val="single" w:color="auto" w:sz="12" w:space="0"/>
                    <w:bottom w:val="single" w:color="auto" w:sz="12" w:space="0"/>
                    <w:right w:val="nil"/>
                  </w:tcBorders>
                  <w:vAlign w:val="center"/>
                </w:tcPr>
                <w:p w14:paraId="12650371">
                  <w:pPr>
                    <w:pStyle w:val="62"/>
                    <w:rPr>
                      <w:b/>
                      <w:bCs/>
                      <w:color w:val="auto"/>
                      <w:highlight w:val="none"/>
                    </w:rPr>
                  </w:pPr>
                  <w:r>
                    <w:rPr>
                      <w:rFonts w:hint="eastAsia"/>
                      <w:b/>
                      <w:bCs/>
                      <w:color w:val="auto"/>
                      <w:highlight w:val="none"/>
                    </w:rPr>
                    <w:t>入厂水质控制要求</w:t>
                  </w:r>
                </w:p>
              </w:tc>
            </w:tr>
            <w:tr w14:paraId="4475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0" w:type="dxa"/>
                  <w:tcBorders>
                    <w:top w:val="single" w:color="auto" w:sz="12" w:space="0"/>
                    <w:left w:val="nil"/>
                  </w:tcBorders>
                  <w:vAlign w:val="center"/>
                </w:tcPr>
                <w:p w14:paraId="1CB95EBE">
                  <w:pPr>
                    <w:pStyle w:val="62"/>
                    <w:rPr>
                      <w:color w:val="auto"/>
                      <w:highlight w:val="none"/>
                    </w:rPr>
                  </w:pPr>
                  <w:r>
                    <w:rPr>
                      <w:rFonts w:hint="eastAsia"/>
                      <w:color w:val="auto"/>
                      <w:highlight w:val="none"/>
                    </w:rPr>
                    <w:t>pH</w:t>
                  </w:r>
                </w:p>
              </w:tc>
              <w:tc>
                <w:tcPr>
                  <w:tcW w:w="2798" w:type="dxa"/>
                  <w:tcBorders>
                    <w:top w:val="single" w:color="auto" w:sz="12" w:space="0"/>
                  </w:tcBorders>
                  <w:vAlign w:val="center"/>
                </w:tcPr>
                <w:p w14:paraId="0E74665C">
                  <w:pPr>
                    <w:pStyle w:val="62"/>
                    <w:rPr>
                      <w:color w:val="auto"/>
                      <w:highlight w:val="none"/>
                    </w:rPr>
                  </w:pPr>
                  <w:r>
                    <w:rPr>
                      <w:rFonts w:hint="eastAsia"/>
                      <w:color w:val="auto"/>
                      <w:highlight w:val="none"/>
                    </w:rPr>
                    <w:t>无量纲</w:t>
                  </w:r>
                </w:p>
              </w:tc>
              <w:tc>
                <w:tcPr>
                  <w:tcW w:w="2873" w:type="dxa"/>
                  <w:tcBorders>
                    <w:top w:val="single" w:color="auto" w:sz="12" w:space="0"/>
                    <w:right w:val="nil"/>
                  </w:tcBorders>
                  <w:vAlign w:val="center"/>
                </w:tcPr>
                <w:p w14:paraId="228787E7">
                  <w:pPr>
                    <w:pStyle w:val="62"/>
                    <w:rPr>
                      <w:color w:val="auto"/>
                      <w:highlight w:val="none"/>
                    </w:rPr>
                  </w:pPr>
                  <w:r>
                    <w:rPr>
                      <w:rFonts w:hint="eastAsia"/>
                      <w:color w:val="auto"/>
                      <w:highlight w:val="none"/>
                    </w:rPr>
                    <w:t>6~9</w:t>
                  </w:r>
                </w:p>
              </w:tc>
            </w:tr>
            <w:tr w14:paraId="5D31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0" w:type="dxa"/>
                  <w:tcBorders>
                    <w:left w:val="nil"/>
                  </w:tcBorders>
                  <w:vAlign w:val="center"/>
                </w:tcPr>
                <w:p w14:paraId="6865DDD5">
                  <w:pPr>
                    <w:pStyle w:val="62"/>
                    <w:rPr>
                      <w:color w:val="auto"/>
                      <w:highlight w:val="none"/>
                    </w:rPr>
                  </w:pPr>
                  <w:r>
                    <w:rPr>
                      <w:rFonts w:hint="eastAsia"/>
                      <w:color w:val="auto"/>
                      <w:highlight w:val="none"/>
                    </w:rPr>
                    <w:t>COD</w:t>
                  </w:r>
                </w:p>
              </w:tc>
              <w:tc>
                <w:tcPr>
                  <w:tcW w:w="2798" w:type="dxa"/>
                  <w:vAlign w:val="center"/>
                </w:tcPr>
                <w:p w14:paraId="26FC19FC">
                  <w:pPr>
                    <w:pStyle w:val="62"/>
                    <w:rPr>
                      <w:color w:val="auto"/>
                      <w:highlight w:val="none"/>
                    </w:rPr>
                  </w:pPr>
                  <w:r>
                    <w:rPr>
                      <w:rFonts w:hint="eastAsia"/>
                      <w:color w:val="auto"/>
                      <w:highlight w:val="none"/>
                    </w:rPr>
                    <w:t>mg/L</w:t>
                  </w:r>
                </w:p>
              </w:tc>
              <w:tc>
                <w:tcPr>
                  <w:tcW w:w="2873" w:type="dxa"/>
                  <w:tcBorders>
                    <w:right w:val="nil"/>
                  </w:tcBorders>
                  <w:vAlign w:val="center"/>
                </w:tcPr>
                <w:p w14:paraId="307D97B6">
                  <w:pPr>
                    <w:pStyle w:val="62"/>
                    <w:rPr>
                      <w:color w:val="auto"/>
                      <w:highlight w:val="none"/>
                    </w:rPr>
                  </w:pPr>
                  <w:r>
                    <w:rPr>
                      <w:rFonts w:hint="eastAsia"/>
                      <w:color w:val="auto"/>
                      <w:highlight w:val="none"/>
                    </w:rPr>
                    <w:t>≤3500</w:t>
                  </w:r>
                </w:p>
              </w:tc>
            </w:tr>
            <w:tr w14:paraId="44CF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0" w:type="dxa"/>
                  <w:tcBorders>
                    <w:left w:val="nil"/>
                    <w:bottom w:val="single" w:color="auto" w:sz="12" w:space="0"/>
                  </w:tcBorders>
                  <w:vAlign w:val="center"/>
                </w:tcPr>
                <w:p w14:paraId="622A7287">
                  <w:pPr>
                    <w:pStyle w:val="62"/>
                    <w:rPr>
                      <w:color w:val="auto"/>
                      <w:highlight w:val="none"/>
                    </w:rPr>
                  </w:pPr>
                  <w:r>
                    <w:rPr>
                      <w:rFonts w:hint="eastAsia"/>
                      <w:color w:val="auto"/>
                      <w:highlight w:val="none"/>
                    </w:rPr>
                    <w:t>悬浮物</w:t>
                  </w:r>
                </w:p>
              </w:tc>
              <w:tc>
                <w:tcPr>
                  <w:tcW w:w="2798" w:type="dxa"/>
                  <w:tcBorders>
                    <w:bottom w:val="single" w:color="auto" w:sz="12" w:space="0"/>
                  </w:tcBorders>
                  <w:vAlign w:val="center"/>
                </w:tcPr>
                <w:p w14:paraId="1178875A">
                  <w:pPr>
                    <w:pStyle w:val="62"/>
                    <w:rPr>
                      <w:color w:val="auto"/>
                      <w:highlight w:val="none"/>
                    </w:rPr>
                  </w:pPr>
                  <w:r>
                    <w:rPr>
                      <w:rFonts w:hint="eastAsia"/>
                      <w:color w:val="auto"/>
                      <w:highlight w:val="none"/>
                    </w:rPr>
                    <w:t>mg/L</w:t>
                  </w:r>
                </w:p>
              </w:tc>
              <w:tc>
                <w:tcPr>
                  <w:tcW w:w="2873" w:type="dxa"/>
                  <w:tcBorders>
                    <w:bottom w:val="single" w:color="auto" w:sz="12" w:space="0"/>
                    <w:right w:val="nil"/>
                  </w:tcBorders>
                  <w:vAlign w:val="center"/>
                </w:tcPr>
                <w:p w14:paraId="57ED4729">
                  <w:pPr>
                    <w:pStyle w:val="62"/>
                    <w:rPr>
                      <w:color w:val="auto"/>
                      <w:highlight w:val="none"/>
                    </w:rPr>
                  </w:pPr>
                  <w:r>
                    <w:rPr>
                      <w:rFonts w:hint="eastAsia"/>
                      <w:color w:val="auto"/>
                      <w:highlight w:val="none"/>
                    </w:rPr>
                    <w:t>≤400</w:t>
                  </w:r>
                </w:p>
              </w:tc>
            </w:tr>
          </w:tbl>
          <w:p w14:paraId="719DACED">
            <w:pPr>
              <w:pStyle w:val="56"/>
              <w:ind w:firstLine="496"/>
              <w:rPr>
                <w:color w:val="auto"/>
                <w:highlight w:val="none"/>
              </w:rPr>
            </w:pPr>
            <w:r>
              <w:rPr>
                <w:rFonts w:hint="eastAsia"/>
                <w:color w:val="auto"/>
                <w:highlight w:val="none"/>
              </w:rPr>
              <w:t>本项目在江阴市奕水盈科技有限公司收水范围内，水质符合入厂标准，且江阴市奕水盈科技有限公司目前尚有处理余量，满足本项目3.4吨/天（年工作日按照300天计）的收水要求。因此，本项目符合江阴市奕水盈科技有限公司收水范围及入厂水质要求，且从江阴市奕水盈科技有限公司容量上分析是可行的，地表水环境影响可接受。</w:t>
            </w:r>
          </w:p>
          <w:p w14:paraId="48FFE3E7">
            <w:pPr>
              <w:pStyle w:val="56"/>
              <w:ind w:firstLine="496"/>
              <w:rPr>
                <w:color w:val="auto"/>
                <w:highlight w:val="none"/>
              </w:rPr>
            </w:pPr>
            <w:r>
              <w:rPr>
                <w:rFonts w:hint="eastAsia"/>
                <w:color w:val="auto"/>
                <w:highlight w:val="none"/>
              </w:rPr>
              <w:t>③废水外接贮存要求</w:t>
            </w:r>
          </w:p>
          <w:p w14:paraId="1BD6ECA9">
            <w:pPr>
              <w:pStyle w:val="56"/>
              <w:ind w:firstLine="496"/>
              <w:rPr>
                <w:color w:val="auto"/>
                <w:highlight w:val="none"/>
              </w:rPr>
            </w:pPr>
            <w:r>
              <w:rPr>
                <w:rFonts w:hint="eastAsia"/>
                <w:color w:val="auto"/>
                <w:highlight w:val="none"/>
              </w:rPr>
              <w:t>本项目设置1个30t的储桶用于暂存水洗废水，储桶底部和外围及四周均应做好防腐防渗措施并配套应急沟或防渗漏托盘等。暂存区域不得存在滴、漏、渗、溢现象，并设置视频监控等设备，清晰记录装卸区及运输车辆通道出入情况。企业需定期对储存设施进行检查和维护，以保证设施正常运行。</w:t>
            </w:r>
          </w:p>
          <w:p w14:paraId="1F41DDC6">
            <w:pPr>
              <w:pStyle w:val="56"/>
              <w:ind w:firstLine="496"/>
              <w:rPr>
                <w:color w:val="auto"/>
                <w:highlight w:val="none"/>
              </w:rPr>
            </w:pPr>
            <w:r>
              <w:rPr>
                <w:rFonts w:hint="eastAsia"/>
                <w:color w:val="auto"/>
                <w:highlight w:val="none"/>
              </w:rPr>
              <w:t>④废水外接转运方式可行性分析</w:t>
            </w:r>
          </w:p>
          <w:p w14:paraId="3CE5A842">
            <w:pPr>
              <w:pStyle w:val="56"/>
              <w:ind w:firstLine="496"/>
              <w:rPr>
                <w:color w:val="auto"/>
                <w:highlight w:val="none"/>
              </w:rPr>
            </w:pPr>
            <w:r>
              <w:rPr>
                <w:rFonts w:hint="eastAsia"/>
                <w:color w:val="auto"/>
                <w:highlight w:val="none"/>
              </w:rPr>
              <w:t>本项目废水厂外转运将由江阴市奕水盈科技有限公司委托第三方运输公司槽车运转，转运环节所有环保、安全等责任主体主要为江阴市奕水盈科技有限公司，次要为第三方运输公司。江阴市奕水盈科技有限公司委托的污水托运人员在出车之前，须对车辆进行检查、维护，提前出发，按时到站，保证污水托运工作正点、全面、彻底完成，最大限度满足现场污水托运任务和要求，污水托运人员全面负责污水押运过程，从出车到卸车，押运员不得私自离开岗位。托运过程中，双方需对污水托运情况进行确认，双方现场负责人共同确认并在污水交接单上签字，双方各持一联，经核对无误的，应在起运前通过“奕水盈外接废水管理系统”上传相关证明材料，污水托运人员应及时将进出厂时间上报。污水托运车须定点装、卸车，按规定的路线限速行驶，不得在途中随意停留，不停靠于村镇、学校等人口密集区和水库、河流等危险路段，转运过程禁止驶出江阴市市域范围，禁止在转移运输途中倾倒、泄放、漏失污水，违者将从重从严处理。故本项目从托运方式看是可行的。</w:t>
            </w:r>
          </w:p>
          <w:p w14:paraId="5174AFB6">
            <w:pPr>
              <w:pStyle w:val="56"/>
              <w:ind w:firstLine="496"/>
              <w:rPr>
                <w:color w:val="auto"/>
                <w:highlight w:val="none"/>
              </w:rPr>
            </w:pPr>
            <w:r>
              <w:rPr>
                <w:rFonts w:hint="eastAsia"/>
                <w:color w:val="auto"/>
                <w:highlight w:val="none"/>
              </w:rPr>
              <w:t>（2）生活污水接管可行性分析</w:t>
            </w:r>
          </w:p>
          <w:p w14:paraId="0485BAC1">
            <w:pPr>
              <w:pStyle w:val="56"/>
              <w:ind w:firstLine="496"/>
              <w:rPr>
                <w:color w:val="auto"/>
                <w:highlight w:val="none"/>
              </w:rPr>
            </w:pPr>
            <w:r>
              <w:rPr>
                <w:rFonts w:hint="eastAsia"/>
                <w:color w:val="auto"/>
                <w:highlight w:val="none"/>
              </w:rPr>
              <w:t>①处理规模的可行性分析</w:t>
            </w:r>
          </w:p>
          <w:p w14:paraId="195A253B">
            <w:pPr>
              <w:pStyle w:val="56"/>
              <w:ind w:firstLine="496"/>
              <w:rPr>
                <w:color w:val="auto"/>
                <w:highlight w:val="none"/>
              </w:rPr>
            </w:pPr>
            <w:r>
              <w:rPr>
                <w:rFonts w:hint="eastAsia"/>
                <w:color w:val="auto"/>
                <w:highlight w:val="none"/>
              </w:rPr>
              <w:t>江阴市月城综合污水处理有限公司位于月城镇工业集中区创新路，设计处理能力为2万t/d，主要接纳处理工业集中区产生的工业废水、生活污水以及镇区生活污水，属于城镇综合污水处理厂。</w:t>
            </w:r>
          </w:p>
          <w:p w14:paraId="3252F4DE">
            <w:pPr>
              <w:pStyle w:val="56"/>
              <w:ind w:firstLine="496"/>
              <w:rPr>
                <w:color w:val="auto"/>
                <w:highlight w:val="none"/>
              </w:rPr>
            </w:pPr>
            <w:r>
              <w:rPr>
                <w:rFonts w:hint="eastAsia"/>
                <w:color w:val="auto"/>
                <w:highlight w:val="none"/>
              </w:rPr>
              <w:t>江阴市月城综合污水处理有限公司废水处理能力为2万吨/日，目前污水厂进水量为8600t/d，尚有11400t/d的余量，本项目污水排放量合计0.4t/d，占剩余容量的0.004%，故从处理水量角度考虑，江阴市月城综合污水处理有限公司接纳本项目的废水可行。</w:t>
            </w:r>
          </w:p>
          <w:p w14:paraId="3388B779">
            <w:pPr>
              <w:spacing w:line="360" w:lineRule="auto"/>
              <w:ind w:firstLine="480" w:firstLineChars="200"/>
              <w:rPr>
                <w:color w:val="auto"/>
                <w:highlight w:val="none"/>
              </w:rPr>
            </w:pPr>
            <w:r>
              <w:rPr>
                <w:color w:val="auto"/>
                <w:highlight w:val="none"/>
              </w:rPr>
              <w:t>②工艺及接管标准上的可行性分析</w:t>
            </w:r>
          </w:p>
          <w:p w14:paraId="1EF37A18">
            <w:pPr>
              <w:spacing w:line="360" w:lineRule="auto"/>
              <w:ind w:firstLine="480" w:firstLineChars="200"/>
              <w:rPr>
                <w:color w:val="auto"/>
                <w:highlight w:val="none"/>
              </w:rPr>
            </w:pPr>
            <w:r>
              <w:rPr>
                <w:rFonts w:hint="eastAsia"/>
                <w:color w:val="auto"/>
                <w:highlight w:val="none"/>
              </w:rPr>
              <w:t>本项目</w:t>
            </w:r>
            <w:r>
              <w:rPr>
                <w:color w:val="auto"/>
                <w:highlight w:val="none"/>
              </w:rPr>
              <w:t>废水主要为生活污水，经化粪池预处理后各污染物排放浓度分别为COD450mg/L、SS350mg/L、NH</w:t>
            </w:r>
            <w:r>
              <w:rPr>
                <w:color w:val="auto"/>
                <w:highlight w:val="none"/>
                <w:vertAlign w:val="subscript"/>
              </w:rPr>
              <w:t>3</w:t>
            </w:r>
            <w:r>
              <w:rPr>
                <w:color w:val="auto"/>
                <w:highlight w:val="none"/>
              </w:rPr>
              <w:t>-N45mg/L、TP8mg/L、TN70mg/L，水质可达到《污水综合排放标准》（GB8978-1996）表4三级排放标准、《污水排入城镇下水道水质标准》（GB/T31962-2015）表1中B等级接管标准，满足</w:t>
            </w:r>
            <w:r>
              <w:rPr>
                <w:color w:val="auto"/>
                <w:szCs w:val="28"/>
                <w:highlight w:val="none"/>
              </w:rPr>
              <w:t>江阴市月城综合污水处理有限公司</w:t>
            </w:r>
            <w:r>
              <w:rPr>
                <w:color w:val="auto"/>
                <w:highlight w:val="none"/>
              </w:rPr>
              <w:t>水质接管要求，污水中不含有对</w:t>
            </w:r>
            <w:r>
              <w:rPr>
                <w:color w:val="auto"/>
                <w:szCs w:val="28"/>
                <w:highlight w:val="none"/>
              </w:rPr>
              <w:t>江阴市月城综合污水处理有限公司</w:t>
            </w:r>
            <w:r>
              <w:rPr>
                <w:color w:val="auto"/>
                <w:highlight w:val="none"/>
              </w:rPr>
              <w:t>废水处理工艺造成不良影响的物质，不会影响</w:t>
            </w:r>
            <w:r>
              <w:rPr>
                <w:color w:val="auto"/>
                <w:szCs w:val="28"/>
                <w:highlight w:val="none"/>
              </w:rPr>
              <w:t>江阴市月城综合污水处理有限公司</w:t>
            </w:r>
            <w:r>
              <w:rPr>
                <w:color w:val="auto"/>
                <w:highlight w:val="none"/>
              </w:rPr>
              <w:t>的处理工艺，因此排入</w:t>
            </w:r>
            <w:r>
              <w:rPr>
                <w:color w:val="auto"/>
                <w:szCs w:val="28"/>
                <w:highlight w:val="none"/>
              </w:rPr>
              <w:t>江阴市月城综合污水处理有限公司</w:t>
            </w:r>
            <w:r>
              <w:rPr>
                <w:color w:val="auto"/>
                <w:highlight w:val="none"/>
              </w:rPr>
              <w:t>集中处理是可行的。该污水厂水处理工艺见图4-2。</w:t>
            </w:r>
          </w:p>
          <w:p w14:paraId="7D9FBC16">
            <w:pPr>
              <w:spacing w:line="360" w:lineRule="auto"/>
              <w:rPr>
                <w:color w:val="auto"/>
                <w:highlight w:val="none"/>
              </w:rPr>
            </w:pPr>
            <w:r>
              <w:rPr>
                <w:color w:val="auto"/>
                <w:highlight w:val="none"/>
              </w:rPr>
              <w:drawing>
                <wp:inline distT="0" distB="0" distL="114300" distR="114300">
                  <wp:extent cx="4895850" cy="2649220"/>
                  <wp:effectExtent l="0" t="0" r="0" b="17780"/>
                  <wp:docPr id="18" name="图片 6" descr="QQ截图2020072011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QQ截图20200720111050"/>
                          <pic:cNvPicPr>
                            <a:picLocks noChangeAspect="1"/>
                          </pic:cNvPicPr>
                        </pic:nvPicPr>
                        <pic:blipFill>
                          <a:blip r:embed="rId10"/>
                          <a:stretch>
                            <a:fillRect/>
                          </a:stretch>
                        </pic:blipFill>
                        <pic:spPr>
                          <a:xfrm>
                            <a:off x="0" y="0"/>
                            <a:ext cx="4895850" cy="2649220"/>
                          </a:xfrm>
                          <a:prstGeom prst="rect">
                            <a:avLst/>
                          </a:prstGeom>
                          <a:noFill/>
                          <a:ln>
                            <a:noFill/>
                          </a:ln>
                        </pic:spPr>
                      </pic:pic>
                    </a:graphicData>
                  </a:graphic>
                </wp:inline>
              </w:drawing>
            </w:r>
          </w:p>
          <w:p w14:paraId="73FFA23B">
            <w:pPr>
              <w:spacing w:line="360" w:lineRule="auto"/>
              <w:jc w:val="center"/>
              <w:rPr>
                <w:b/>
                <w:bCs/>
                <w:color w:val="auto"/>
                <w:highlight w:val="none"/>
              </w:rPr>
            </w:pPr>
            <w:r>
              <w:rPr>
                <w:b/>
                <w:bCs/>
                <w:color w:val="auto"/>
                <w:highlight w:val="none"/>
              </w:rPr>
              <w:t>图4-</w:t>
            </w:r>
            <w:r>
              <w:rPr>
                <w:rFonts w:hint="eastAsia"/>
                <w:b/>
                <w:bCs/>
                <w:color w:val="auto"/>
                <w:highlight w:val="none"/>
              </w:rPr>
              <w:t>4</w:t>
            </w:r>
            <w:r>
              <w:rPr>
                <w:b/>
                <w:bCs/>
                <w:color w:val="auto"/>
                <w:highlight w:val="none"/>
              </w:rPr>
              <w:t>江阴市月城综合污水处理有限公司污水处理工艺流程图</w:t>
            </w:r>
          </w:p>
          <w:p w14:paraId="30FFB695">
            <w:pPr>
              <w:spacing w:line="360" w:lineRule="auto"/>
              <w:ind w:firstLine="480" w:firstLineChars="200"/>
              <w:rPr>
                <w:color w:val="auto"/>
                <w:highlight w:val="none"/>
              </w:rPr>
            </w:pPr>
            <w:r>
              <w:rPr>
                <w:color w:val="auto"/>
                <w:highlight w:val="none"/>
              </w:rPr>
              <w:t>③管网配套可行性分析</w:t>
            </w:r>
          </w:p>
          <w:p w14:paraId="5D0C436D">
            <w:pPr>
              <w:spacing w:line="360" w:lineRule="auto"/>
              <w:ind w:firstLine="480" w:firstLineChars="200"/>
              <w:rPr>
                <w:color w:val="auto"/>
                <w:highlight w:val="none"/>
              </w:rPr>
            </w:pPr>
            <w:r>
              <w:rPr>
                <w:color w:val="auto"/>
                <w:highlight w:val="none"/>
              </w:rPr>
              <w:t>项目所在地污水管网已铺设到位，与市政污水管网接管，生活污水接管</w:t>
            </w:r>
            <w:r>
              <w:rPr>
                <w:color w:val="auto"/>
                <w:szCs w:val="28"/>
                <w:highlight w:val="none"/>
              </w:rPr>
              <w:t>江阴市月城综合污水处理有限公司</w:t>
            </w:r>
            <w:r>
              <w:rPr>
                <w:color w:val="auto"/>
                <w:highlight w:val="none"/>
              </w:rPr>
              <w:t>处理，从管网建设配套看是可行的。目前，项目所在区域具备接管条件。</w:t>
            </w:r>
          </w:p>
          <w:p w14:paraId="3A838982">
            <w:pPr>
              <w:snapToGrid w:val="0"/>
              <w:spacing w:before="163" w:beforeLines="50" w:line="360" w:lineRule="auto"/>
              <w:ind w:firstLine="498" w:firstLineChars="200"/>
              <w:outlineLvl w:val="4"/>
              <w:rPr>
                <w:b/>
                <w:bCs/>
                <w:color w:val="auto"/>
                <w:spacing w:val="4"/>
                <w:highlight w:val="none"/>
              </w:rPr>
            </w:pPr>
            <w:r>
              <w:rPr>
                <w:rFonts w:hint="eastAsia"/>
                <w:b/>
                <w:bCs/>
                <w:color w:val="auto"/>
                <w:spacing w:val="4"/>
                <w:highlight w:val="none"/>
              </w:rPr>
              <w:t>2.3废水排污口规范化设置</w:t>
            </w:r>
          </w:p>
          <w:p w14:paraId="161EF4E3">
            <w:pPr>
              <w:adjustRightInd w:val="0"/>
              <w:snapToGrid w:val="0"/>
              <w:spacing w:line="360" w:lineRule="auto"/>
              <w:ind w:firstLine="482" w:firstLineChars="200"/>
              <w:rPr>
                <w:b/>
                <w:bCs/>
                <w:color w:val="auto"/>
                <w:highlight w:val="none"/>
              </w:rPr>
            </w:pPr>
            <w:r>
              <w:rPr>
                <w:rFonts w:hint="eastAsia"/>
                <w:b/>
                <w:bCs/>
                <w:color w:val="auto"/>
                <w:highlight w:val="none"/>
              </w:rPr>
              <w:t>2.4监测计划</w:t>
            </w:r>
          </w:p>
          <w:p w14:paraId="3CA56CCD">
            <w:pPr>
              <w:snapToGrid w:val="0"/>
              <w:spacing w:line="360" w:lineRule="auto"/>
              <w:ind w:firstLine="480" w:firstLineChars="200"/>
              <w:rPr>
                <w:bCs/>
                <w:color w:val="auto"/>
                <w:highlight w:val="none"/>
              </w:rPr>
            </w:pPr>
            <w:r>
              <w:rPr>
                <w:rFonts w:hint="eastAsia"/>
                <w:bCs/>
                <w:color w:val="auto"/>
                <w:highlight w:val="none"/>
              </w:rPr>
              <w:t>本项目生产废水经厂内预处理系统处理后回用，浓水委托江阴市奕水盈科技有限公司处置；生活污水经化粪池处理后接管至江阴市月城污水处理有限公司处置，故不开展地表水环境监测计划。</w:t>
            </w:r>
          </w:p>
          <w:p w14:paraId="314BC120">
            <w:pPr>
              <w:snapToGrid w:val="0"/>
              <w:spacing w:line="360" w:lineRule="auto"/>
              <w:ind w:firstLine="482" w:firstLineChars="200"/>
              <w:rPr>
                <w:b/>
                <w:color w:val="auto"/>
                <w:szCs w:val="20"/>
                <w:highlight w:val="none"/>
              </w:rPr>
            </w:pPr>
            <w:r>
              <w:rPr>
                <w:rFonts w:hint="eastAsia"/>
                <w:b/>
                <w:color w:val="auto"/>
                <w:highlight w:val="none"/>
              </w:rPr>
              <w:t>水环境影响评价结论：</w:t>
            </w:r>
          </w:p>
          <w:p w14:paraId="423CBB7F">
            <w:pPr>
              <w:adjustRightInd w:val="0"/>
              <w:snapToGrid w:val="0"/>
              <w:spacing w:line="360" w:lineRule="auto"/>
              <w:ind w:firstLine="480" w:firstLineChars="200"/>
              <w:rPr>
                <w:bCs/>
                <w:color w:val="auto"/>
                <w:spacing w:val="-10"/>
                <w:sz w:val="21"/>
                <w:highlight w:val="none"/>
              </w:rPr>
            </w:pPr>
            <w:r>
              <w:rPr>
                <w:rFonts w:hint="eastAsia"/>
                <w:color w:val="auto"/>
                <w:highlight w:val="none"/>
              </w:rPr>
              <w:t>本项目位于水环境质量达标区，根据《环境影响评价技术导则-地表水环境》（HJ2.3-2018）本项目为水污染影响三级B等级，本项目污水接管江阴市月城综合污水处理有限公司，根据对江阴市月城综合污水处理有限公司接管可行性分析可知，本项目所在厂区污水水量、水质等均符合江阴市月城综合污水处理有限公司接管要求，因此，本项目污水不会对当地地表水环境产生不利影响，地表水环境影响可接受。</w:t>
            </w:r>
          </w:p>
          <w:p w14:paraId="2EF1CCEE">
            <w:pPr>
              <w:pStyle w:val="56"/>
              <w:ind w:firstLine="498"/>
              <w:rPr>
                <w:b/>
                <w:bCs/>
                <w:color w:val="auto"/>
                <w:highlight w:val="none"/>
              </w:rPr>
            </w:pPr>
            <w:r>
              <w:rPr>
                <w:rFonts w:hint="eastAsia"/>
                <w:b/>
                <w:bCs/>
                <w:color w:val="auto"/>
                <w:highlight w:val="none"/>
              </w:rPr>
              <w:t>3、噪声</w:t>
            </w:r>
          </w:p>
          <w:p w14:paraId="0D4F9F7B">
            <w:pPr>
              <w:pStyle w:val="56"/>
              <w:ind w:firstLine="496"/>
              <w:rPr>
                <w:color w:val="auto"/>
                <w:highlight w:val="none"/>
              </w:rPr>
            </w:pPr>
            <w:r>
              <w:rPr>
                <w:rFonts w:hint="eastAsia"/>
                <w:color w:val="auto"/>
                <w:highlight w:val="none"/>
              </w:rPr>
              <w:t>（1）噪声产排情况</w:t>
            </w:r>
          </w:p>
          <w:p w14:paraId="42A5DD11">
            <w:pPr>
              <w:pStyle w:val="56"/>
              <w:ind w:firstLine="496"/>
              <w:rPr>
                <w:color w:val="auto"/>
                <w:highlight w:val="none"/>
              </w:rPr>
            </w:pPr>
            <w:r>
              <w:rPr>
                <w:rFonts w:hint="eastAsia"/>
                <w:color w:val="auto"/>
                <w:highlight w:val="none"/>
              </w:rPr>
              <w:t>本项目项目主要噪声源为洗珠桶、离心机和筛珠机等，单台噪声源强≤</w:t>
            </w:r>
            <w:r>
              <w:rPr>
                <w:color w:val="auto"/>
                <w:highlight w:val="none"/>
              </w:rPr>
              <w:t>8</w:t>
            </w:r>
            <w:r>
              <w:rPr>
                <w:rFonts w:hint="eastAsia"/>
                <w:color w:val="auto"/>
                <w:highlight w:val="none"/>
              </w:rPr>
              <w:t>5dB(A)，本项目租赁江阴市康立医药器材有限公司厂房，本项目噪声源强以江阴市康立医药器材有限公司</w:t>
            </w:r>
            <w:r>
              <w:rPr>
                <w:rFonts w:hint="eastAsia"/>
                <w:color w:val="auto"/>
                <w:highlight w:val="none"/>
                <w:lang w:val="en-US" w:eastAsia="zh-CN"/>
              </w:rPr>
              <w:t>厂区</w:t>
            </w:r>
            <w:r>
              <w:rPr>
                <w:rFonts w:hint="eastAsia"/>
                <w:color w:val="auto"/>
                <w:highlight w:val="none"/>
              </w:rPr>
              <w:t>边缘为界，长111m，宽108m。</w:t>
            </w:r>
          </w:p>
          <w:p w14:paraId="701EB588">
            <w:pPr>
              <w:pStyle w:val="56"/>
              <w:ind w:firstLine="496"/>
              <w:rPr>
                <w:color w:val="auto"/>
                <w:highlight w:val="none"/>
              </w:rPr>
            </w:pPr>
            <w:r>
              <w:rPr>
                <w:rFonts w:hint="eastAsia"/>
                <w:color w:val="auto"/>
                <w:highlight w:val="none"/>
              </w:rPr>
              <w:t>本次评价拟采用《环境影响评价技术导则 声环境》（</w:t>
            </w:r>
            <w:r>
              <w:rPr>
                <w:color w:val="auto"/>
                <w:highlight w:val="none"/>
              </w:rPr>
              <w:t>HJ2.4-2021</w:t>
            </w:r>
            <w:r>
              <w:rPr>
                <w:rFonts w:hint="eastAsia"/>
                <w:color w:val="auto"/>
                <w:highlight w:val="none"/>
              </w:rPr>
              <w:t>）推荐的噪声传播衰减方法进行预测，预测模式如下。</w:t>
            </w:r>
          </w:p>
          <w:p w14:paraId="652712DF">
            <w:pPr>
              <w:pStyle w:val="56"/>
              <w:ind w:firstLine="496"/>
              <w:rPr>
                <w:color w:val="auto"/>
                <w:highlight w:val="none"/>
              </w:rPr>
            </w:pPr>
            <w:r>
              <w:rPr>
                <w:color w:val="auto"/>
                <w:highlight w:val="none"/>
              </w:rPr>
              <w:t>a</w:t>
            </w:r>
            <w:r>
              <w:rPr>
                <w:rFonts w:hint="eastAsia"/>
                <w:color w:val="auto"/>
                <w:highlight w:val="none"/>
              </w:rPr>
              <w:t>)在只考虑几何发散衰减时，可按下式计算。</w:t>
            </w:r>
          </w:p>
          <w:p w14:paraId="270BE794">
            <w:pPr>
              <w:pStyle w:val="56"/>
              <w:widowControl w:val="0"/>
              <w:spacing w:before="42"/>
              <w:ind w:firstLine="0" w:firstLineChars="0"/>
              <w:jc w:val="center"/>
              <w:rPr>
                <w:color w:val="auto"/>
                <w:highlight w:val="none"/>
              </w:rPr>
            </w:pPr>
            <w:r>
              <w:rPr>
                <w:color w:val="auto"/>
                <w:highlight w:val="none"/>
              </w:rPr>
              <w:drawing>
                <wp:inline distT="0" distB="0" distL="114300" distR="114300">
                  <wp:extent cx="1381125" cy="314325"/>
                  <wp:effectExtent l="0" t="0" r="9525" b="9525"/>
                  <wp:docPr id="15" name="图片 3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4" descr="wps1"/>
                          <pic:cNvPicPr>
                            <a:picLocks noChangeAspect="1"/>
                          </pic:cNvPicPr>
                        </pic:nvPicPr>
                        <pic:blipFill>
                          <a:blip r:embed="rId11"/>
                          <a:stretch>
                            <a:fillRect/>
                          </a:stretch>
                        </pic:blipFill>
                        <pic:spPr>
                          <a:xfrm>
                            <a:off x="0" y="0"/>
                            <a:ext cx="1381125" cy="314325"/>
                          </a:xfrm>
                          <a:prstGeom prst="rect">
                            <a:avLst/>
                          </a:prstGeom>
                          <a:noFill/>
                          <a:ln>
                            <a:noFill/>
                          </a:ln>
                        </pic:spPr>
                      </pic:pic>
                    </a:graphicData>
                  </a:graphic>
                </wp:inline>
              </w:drawing>
            </w:r>
          </w:p>
          <w:p w14:paraId="0EBFE831">
            <w:pPr>
              <w:pStyle w:val="56"/>
              <w:ind w:firstLine="496"/>
              <w:rPr>
                <w:color w:val="auto"/>
                <w:highlight w:val="none"/>
              </w:rPr>
            </w:pPr>
            <w:r>
              <w:rPr>
                <w:rFonts w:hint="eastAsia"/>
                <w:color w:val="auto"/>
                <w:highlight w:val="none"/>
              </w:rPr>
              <w:t>式中：</w:t>
            </w:r>
            <w:r>
              <w:rPr>
                <w:color w:val="auto"/>
                <w:highlight w:val="none"/>
              </w:rPr>
              <w:t>LA(r)——</w:t>
            </w:r>
            <w:r>
              <w:rPr>
                <w:rFonts w:hint="eastAsia"/>
                <w:color w:val="auto"/>
                <w:highlight w:val="none"/>
              </w:rPr>
              <w:t>距声源</w:t>
            </w:r>
            <w:r>
              <w:rPr>
                <w:color w:val="auto"/>
                <w:highlight w:val="none"/>
              </w:rPr>
              <w:t>r</w:t>
            </w:r>
            <w:r>
              <w:rPr>
                <w:rFonts w:hint="eastAsia"/>
                <w:color w:val="auto"/>
                <w:highlight w:val="none"/>
              </w:rPr>
              <w:t>处的</w:t>
            </w:r>
            <w:r>
              <w:rPr>
                <w:color w:val="auto"/>
                <w:highlight w:val="none"/>
              </w:rPr>
              <w:t>A</w:t>
            </w:r>
            <w:r>
              <w:rPr>
                <w:rFonts w:hint="eastAsia"/>
                <w:color w:val="auto"/>
                <w:highlight w:val="none"/>
              </w:rPr>
              <w:t>声级，</w:t>
            </w:r>
            <w:r>
              <w:rPr>
                <w:color w:val="auto"/>
                <w:highlight w:val="none"/>
              </w:rPr>
              <w:t>dB(A)</w:t>
            </w:r>
            <w:r>
              <w:rPr>
                <w:rFonts w:hint="eastAsia"/>
                <w:color w:val="auto"/>
                <w:highlight w:val="none"/>
              </w:rPr>
              <w:t>；</w:t>
            </w:r>
          </w:p>
          <w:p w14:paraId="733B67F4">
            <w:pPr>
              <w:pStyle w:val="56"/>
              <w:ind w:firstLine="1240" w:firstLineChars="500"/>
              <w:rPr>
                <w:color w:val="auto"/>
                <w:highlight w:val="none"/>
              </w:rPr>
            </w:pPr>
            <w:r>
              <w:rPr>
                <w:color w:val="auto"/>
                <w:highlight w:val="none"/>
              </w:rPr>
              <w:t>LA(r0)——</w:t>
            </w:r>
            <w:r>
              <w:rPr>
                <w:rFonts w:hint="eastAsia"/>
                <w:color w:val="auto"/>
                <w:highlight w:val="none"/>
              </w:rPr>
              <w:t>参考位置</w:t>
            </w:r>
            <w:r>
              <w:rPr>
                <w:color w:val="auto"/>
                <w:highlight w:val="none"/>
              </w:rPr>
              <w:t>r0</w:t>
            </w:r>
            <w:r>
              <w:rPr>
                <w:rFonts w:hint="eastAsia"/>
                <w:color w:val="auto"/>
                <w:highlight w:val="none"/>
              </w:rPr>
              <w:t>处的</w:t>
            </w:r>
            <w:r>
              <w:rPr>
                <w:color w:val="auto"/>
                <w:highlight w:val="none"/>
              </w:rPr>
              <w:t>A</w:t>
            </w:r>
            <w:r>
              <w:rPr>
                <w:rFonts w:hint="eastAsia"/>
                <w:color w:val="auto"/>
                <w:highlight w:val="none"/>
              </w:rPr>
              <w:t>声级，</w:t>
            </w:r>
            <w:r>
              <w:rPr>
                <w:color w:val="auto"/>
                <w:highlight w:val="none"/>
              </w:rPr>
              <w:t>dB(A)</w:t>
            </w:r>
            <w:r>
              <w:rPr>
                <w:rFonts w:hint="eastAsia"/>
                <w:color w:val="auto"/>
                <w:highlight w:val="none"/>
              </w:rPr>
              <w:t>；</w:t>
            </w:r>
          </w:p>
          <w:p w14:paraId="490FF8C5">
            <w:pPr>
              <w:pStyle w:val="56"/>
              <w:ind w:firstLine="1240" w:firstLineChars="500"/>
              <w:rPr>
                <w:color w:val="auto"/>
                <w:highlight w:val="none"/>
              </w:rPr>
            </w:pPr>
            <w:r>
              <w:rPr>
                <w:color w:val="auto"/>
                <w:highlight w:val="none"/>
              </w:rPr>
              <w:t>Adiv——</w:t>
            </w:r>
            <w:r>
              <w:rPr>
                <w:rFonts w:hint="eastAsia"/>
                <w:color w:val="auto"/>
                <w:highlight w:val="none"/>
              </w:rPr>
              <w:t>几何发散引起的衰减，</w:t>
            </w:r>
            <w:r>
              <w:rPr>
                <w:color w:val="auto"/>
                <w:highlight w:val="none"/>
              </w:rPr>
              <w:t>dB</w:t>
            </w:r>
            <w:r>
              <w:rPr>
                <w:rFonts w:hint="eastAsia"/>
                <w:color w:val="auto"/>
                <w:highlight w:val="none"/>
              </w:rPr>
              <w:t>。</w:t>
            </w:r>
          </w:p>
          <w:p w14:paraId="04C78499">
            <w:pPr>
              <w:pStyle w:val="56"/>
              <w:ind w:firstLine="496"/>
              <w:rPr>
                <w:color w:val="auto"/>
                <w:highlight w:val="none"/>
              </w:rPr>
            </w:pPr>
            <w:r>
              <w:rPr>
                <w:color w:val="auto"/>
                <w:highlight w:val="none"/>
              </w:rPr>
              <w:t>b)</w:t>
            </w:r>
            <w:r>
              <w:rPr>
                <w:rFonts w:hint="eastAsia"/>
                <w:color w:val="auto"/>
                <w:highlight w:val="none"/>
              </w:rPr>
              <w:t>无指向性点声源几何发散衰减</w:t>
            </w:r>
          </w:p>
          <w:p w14:paraId="75368BB0">
            <w:pPr>
              <w:pStyle w:val="56"/>
              <w:ind w:firstLine="496"/>
              <w:rPr>
                <w:color w:val="auto"/>
                <w:highlight w:val="none"/>
              </w:rPr>
            </w:pPr>
            <w:r>
              <w:rPr>
                <w:rFonts w:hint="eastAsia"/>
                <w:color w:val="auto"/>
                <w:highlight w:val="none"/>
              </w:rPr>
              <w:t>无指向性点声源几何发散衰减的基本公式是：</w:t>
            </w:r>
          </w:p>
          <w:p w14:paraId="4899E249">
            <w:pPr>
              <w:pStyle w:val="56"/>
              <w:widowControl w:val="0"/>
              <w:ind w:firstLine="0" w:firstLineChars="0"/>
              <w:jc w:val="center"/>
              <w:rPr>
                <w:color w:val="auto"/>
                <w:highlight w:val="none"/>
              </w:rPr>
            </w:pPr>
            <w:r>
              <w:rPr>
                <w:color w:val="auto"/>
                <w:highlight w:val="none"/>
              </w:rPr>
              <w:drawing>
                <wp:inline distT="0" distB="0" distL="114300" distR="114300">
                  <wp:extent cx="1638300" cy="304800"/>
                  <wp:effectExtent l="0" t="0" r="0" b="0"/>
                  <wp:docPr id="85" name="图片 35"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35" descr="wps2"/>
                          <pic:cNvPicPr>
                            <a:picLocks noChangeAspect="1"/>
                          </pic:cNvPicPr>
                        </pic:nvPicPr>
                        <pic:blipFill>
                          <a:blip r:embed="rId12"/>
                          <a:stretch>
                            <a:fillRect/>
                          </a:stretch>
                        </pic:blipFill>
                        <pic:spPr>
                          <a:xfrm>
                            <a:off x="0" y="0"/>
                            <a:ext cx="1638300" cy="304800"/>
                          </a:xfrm>
                          <a:prstGeom prst="rect">
                            <a:avLst/>
                          </a:prstGeom>
                          <a:noFill/>
                          <a:ln>
                            <a:noFill/>
                          </a:ln>
                        </pic:spPr>
                      </pic:pic>
                    </a:graphicData>
                  </a:graphic>
                </wp:inline>
              </w:drawing>
            </w:r>
          </w:p>
          <w:p w14:paraId="528AF464">
            <w:pPr>
              <w:pStyle w:val="56"/>
              <w:ind w:firstLine="496"/>
              <w:rPr>
                <w:color w:val="auto"/>
                <w:highlight w:val="none"/>
              </w:rPr>
            </w:pPr>
            <w:r>
              <w:rPr>
                <w:rFonts w:hint="eastAsia"/>
                <w:color w:val="auto"/>
                <w:highlight w:val="none"/>
              </w:rPr>
              <w:t>式中：</w:t>
            </w:r>
            <w:r>
              <w:rPr>
                <w:color w:val="auto"/>
                <w:highlight w:val="none"/>
              </w:rPr>
              <w:t>Lp(r)——</w:t>
            </w:r>
            <w:r>
              <w:rPr>
                <w:rFonts w:hint="eastAsia"/>
                <w:color w:val="auto"/>
                <w:highlight w:val="none"/>
              </w:rPr>
              <w:t>预测点处声压级，</w:t>
            </w:r>
            <w:r>
              <w:rPr>
                <w:color w:val="auto"/>
                <w:highlight w:val="none"/>
              </w:rPr>
              <w:t>dB</w:t>
            </w:r>
            <w:r>
              <w:rPr>
                <w:rFonts w:hint="eastAsia"/>
                <w:color w:val="auto"/>
                <w:highlight w:val="none"/>
              </w:rPr>
              <w:t>；</w:t>
            </w:r>
          </w:p>
          <w:p w14:paraId="37CE936B">
            <w:pPr>
              <w:pStyle w:val="56"/>
              <w:ind w:firstLine="1240" w:firstLineChars="500"/>
              <w:rPr>
                <w:color w:val="auto"/>
                <w:highlight w:val="none"/>
              </w:rPr>
            </w:pPr>
            <w:r>
              <w:rPr>
                <w:color w:val="auto"/>
                <w:highlight w:val="none"/>
              </w:rPr>
              <w:t>Lp(r0)——</w:t>
            </w:r>
            <w:r>
              <w:rPr>
                <w:rFonts w:hint="eastAsia"/>
                <w:color w:val="auto"/>
                <w:highlight w:val="none"/>
              </w:rPr>
              <w:t>参考位置</w:t>
            </w:r>
            <w:r>
              <w:rPr>
                <w:color w:val="auto"/>
                <w:highlight w:val="none"/>
              </w:rPr>
              <w:t>r0</w:t>
            </w:r>
            <w:r>
              <w:rPr>
                <w:rFonts w:hint="eastAsia"/>
                <w:color w:val="auto"/>
                <w:highlight w:val="none"/>
              </w:rPr>
              <w:t>处的声压级，</w:t>
            </w:r>
            <w:r>
              <w:rPr>
                <w:color w:val="auto"/>
                <w:highlight w:val="none"/>
              </w:rPr>
              <w:t>dB</w:t>
            </w:r>
            <w:r>
              <w:rPr>
                <w:rFonts w:hint="eastAsia"/>
                <w:color w:val="auto"/>
                <w:highlight w:val="none"/>
              </w:rPr>
              <w:t>；</w:t>
            </w:r>
          </w:p>
          <w:p w14:paraId="0AFA49B7">
            <w:pPr>
              <w:pStyle w:val="56"/>
              <w:ind w:firstLine="1240" w:firstLineChars="500"/>
              <w:rPr>
                <w:color w:val="auto"/>
                <w:highlight w:val="none"/>
              </w:rPr>
            </w:pPr>
            <w:r>
              <w:rPr>
                <w:color w:val="auto"/>
                <w:highlight w:val="none"/>
              </w:rPr>
              <w:t>r——</w:t>
            </w:r>
            <w:r>
              <w:rPr>
                <w:rFonts w:hint="eastAsia"/>
                <w:color w:val="auto"/>
                <w:highlight w:val="none"/>
              </w:rPr>
              <w:t>预测点距声源的距离；</w:t>
            </w:r>
          </w:p>
          <w:p w14:paraId="3EEA9CCA">
            <w:pPr>
              <w:pStyle w:val="56"/>
              <w:ind w:firstLine="1240" w:firstLineChars="500"/>
              <w:rPr>
                <w:color w:val="auto"/>
                <w:highlight w:val="none"/>
              </w:rPr>
            </w:pPr>
            <w:r>
              <w:rPr>
                <w:color w:val="auto"/>
                <w:highlight w:val="none"/>
              </w:rPr>
              <w:t>r0——</w:t>
            </w:r>
            <w:r>
              <w:rPr>
                <w:rFonts w:hint="eastAsia"/>
                <w:color w:val="auto"/>
                <w:highlight w:val="none"/>
              </w:rPr>
              <w:t>参考位置距声源的距离。</w:t>
            </w:r>
          </w:p>
          <w:p w14:paraId="498DCAC6">
            <w:pPr>
              <w:pStyle w:val="56"/>
              <w:ind w:firstLine="496"/>
              <w:rPr>
                <w:color w:val="auto"/>
                <w:highlight w:val="none"/>
              </w:rPr>
            </w:pPr>
            <w:r>
              <w:rPr>
                <w:rFonts w:hint="eastAsia"/>
                <w:color w:val="auto"/>
                <w:highlight w:val="none"/>
              </w:rPr>
              <w:t>上式中第二项表示了点声源的几何发散衰减：</w:t>
            </w:r>
          </w:p>
          <w:p w14:paraId="5FA8DC27">
            <w:pPr>
              <w:pStyle w:val="56"/>
              <w:widowControl w:val="0"/>
              <w:ind w:firstLine="0" w:firstLineChars="0"/>
              <w:jc w:val="center"/>
              <w:rPr>
                <w:color w:val="auto"/>
                <w:highlight w:val="none"/>
              </w:rPr>
            </w:pPr>
            <w:r>
              <w:rPr>
                <w:color w:val="auto"/>
                <w:highlight w:val="none"/>
              </w:rPr>
              <w:drawing>
                <wp:inline distT="0" distB="0" distL="114300" distR="114300">
                  <wp:extent cx="1028700" cy="304800"/>
                  <wp:effectExtent l="0" t="0" r="0" b="0"/>
                  <wp:docPr id="91" name="图片 36"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36" descr="wps3"/>
                          <pic:cNvPicPr>
                            <a:picLocks noChangeAspect="1"/>
                          </pic:cNvPicPr>
                        </pic:nvPicPr>
                        <pic:blipFill>
                          <a:blip r:embed="rId13"/>
                          <a:stretch>
                            <a:fillRect/>
                          </a:stretch>
                        </pic:blipFill>
                        <pic:spPr>
                          <a:xfrm>
                            <a:off x="0" y="0"/>
                            <a:ext cx="1028700" cy="304800"/>
                          </a:xfrm>
                          <a:prstGeom prst="rect">
                            <a:avLst/>
                          </a:prstGeom>
                          <a:noFill/>
                          <a:ln>
                            <a:noFill/>
                          </a:ln>
                        </pic:spPr>
                      </pic:pic>
                    </a:graphicData>
                  </a:graphic>
                </wp:inline>
              </w:drawing>
            </w:r>
          </w:p>
          <w:p w14:paraId="6C12B648">
            <w:pPr>
              <w:pStyle w:val="56"/>
              <w:ind w:firstLine="496"/>
              <w:rPr>
                <w:color w:val="auto"/>
                <w:highlight w:val="none"/>
              </w:rPr>
            </w:pPr>
            <w:r>
              <w:rPr>
                <w:rFonts w:hint="eastAsia"/>
                <w:color w:val="auto"/>
                <w:highlight w:val="none"/>
              </w:rPr>
              <w:t>式中：</w:t>
            </w:r>
            <w:r>
              <w:rPr>
                <w:color w:val="auto"/>
                <w:highlight w:val="none"/>
              </w:rPr>
              <w:t>Adiv——</w:t>
            </w:r>
            <w:r>
              <w:rPr>
                <w:rFonts w:hint="eastAsia"/>
                <w:color w:val="auto"/>
                <w:highlight w:val="none"/>
              </w:rPr>
              <w:t>几何发散引起的衰减，</w:t>
            </w:r>
            <w:r>
              <w:rPr>
                <w:color w:val="auto"/>
                <w:highlight w:val="none"/>
              </w:rPr>
              <w:t>dB</w:t>
            </w:r>
            <w:r>
              <w:rPr>
                <w:rFonts w:hint="eastAsia"/>
                <w:color w:val="auto"/>
                <w:highlight w:val="none"/>
              </w:rPr>
              <w:t>；</w:t>
            </w:r>
          </w:p>
          <w:p w14:paraId="24E7DA80">
            <w:pPr>
              <w:pStyle w:val="56"/>
              <w:ind w:firstLine="1240" w:firstLineChars="500"/>
              <w:rPr>
                <w:color w:val="auto"/>
                <w:highlight w:val="none"/>
              </w:rPr>
            </w:pPr>
            <w:r>
              <w:rPr>
                <w:color w:val="auto"/>
                <w:highlight w:val="none"/>
              </w:rPr>
              <w:t>r——</w:t>
            </w:r>
            <w:r>
              <w:rPr>
                <w:rFonts w:hint="eastAsia"/>
                <w:color w:val="auto"/>
                <w:highlight w:val="none"/>
              </w:rPr>
              <w:t>预测点距声源的距离；</w:t>
            </w:r>
          </w:p>
          <w:p w14:paraId="6DB61B2B">
            <w:pPr>
              <w:pStyle w:val="56"/>
              <w:ind w:firstLine="1240" w:firstLineChars="500"/>
              <w:rPr>
                <w:color w:val="auto"/>
                <w:highlight w:val="none"/>
              </w:rPr>
            </w:pPr>
            <w:r>
              <w:rPr>
                <w:color w:val="auto"/>
                <w:highlight w:val="none"/>
              </w:rPr>
              <w:t>r0——</w:t>
            </w:r>
            <w:r>
              <w:rPr>
                <w:rFonts w:hint="eastAsia"/>
                <w:color w:val="auto"/>
                <w:highlight w:val="none"/>
              </w:rPr>
              <w:t>参考位置距声源的距离。</w:t>
            </w:r>
          </w:p>
        </w:tc>
      </w:tr>
    </w:tbl>
    <w:p w14:paraId="0A7783D2">
      <w:pPr>
        <w:rPr>
          <w:vanish/>
          <w:color w:val="auto"/>
          <w:highlight w:val="none"/>
        </w:rPr>
      </w:pPr>
    </w:p>
    <w:p w14:paraId="2608C2C4">
      <w:pPr>
        <w:rPr>
          <w:color w:val="auto"/>
          <w:highlight w:val="none"/>
        </w:rPr>
        <w:sectPr>
          <w:pgSz w:w="11906" w:h="16838"/>
          <w:pgMar w:top="1440" w:right="1800" w:bottom="1440" w:left="1800" w:header="851" w:footer="992" w:gutter="0"/>
          <w:pgNumType w:fmt="numberInDash"/>
          <w:cols w:space="720" w:num="1"/>
          <w:docGrid w:type="lines" w:linePitch="326" w:charSpace="0"/>
        </w:sect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737"/>
      </w:tblGrid>
      <w:tr w14:paraId="13C7A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63" w:hRule="atLeast"/>
          <w:jc w:val="center"/>
        </w:trPr>
        <w:tc>
          <w:tcPr>
            <w:tcW w:w="746" w:type="dxa"/>
            <w:tcMar>
              <w:left w:w="28" w:type="dxa"/>
              <w:right w:w="28" w:type="dxa"/>
            </w:tcMar>
            <w:vAlign w:val="center"/>
          </w:tcPr>
          <w:p w14:paraId="0042B77A">
            <w:pPr>
              <w:adjustRightInd w:val="0"/>
              <w:snapToGrid w:val="0"/>
              <w:jc w:val="center"/>
              <w:rPr>
                <w:bCs/>
                <w:color w:val="auto"/>
                <w:highlight w:val="none"/>
              </w:rPr>
            </w:pPr>
            <w:r>
              <w:rPr>
                <w:rFonts w:hint="eastAsia"/>
                <w:bCs/>
                <w:color w:val="auto"/>
                <w:highlight w:val="none"/>
              </w:rPr>
              <w:t>运营</w:t>
            </w:r>
          </w:p>
          <w:p w14:paraId="1A856172">
            <w:pPr>
              <w:adjustRightInd w:val="0"/>
              <w:snapToGrid w:val="0"/>
              <w:jc w:val="center"/>
              <w:rPr>
                <w:bCs/>
                <w:color w:val="auto"/>
                <w:highlight w:val="none"/>
              </w:rPr>
            </w:pPr>
            <w:r>
              <w:rPr>
                <w:rFonts w:hint="eastAsia"/>
                <w:bCs/>
                <w:color w:val="auto"/>
                <w:highlight w:val="none"/>
              </w:rPr>
              <w:t>期环</w:t>
            </w:r>
          </w:p>
          <w:p w14:paraId="09F81224">
            <w:pPr>
              <w:adjustRightInd w:val="0"/>
              <w:snapToGrid w:val="0"/>
              <w:jc w:val="center"/>
              <w:rPr>
                <w:bCs/>
                <w:color w:val="auto"/>
                <w:highlight w:val="none"/>
              </w:rPr>
            </w:pPr>
            <w:r>
              <w:rPr>
                <w:rFonts w:hint="eastAsia"/>
                <w:bCs/>
                <w:color w:val="auto"/>
                <w:highlight w:val="none"/>
              </w:rPr>
              <w:t>境影</w:t>
            </w:r>
          </w:p>
          <w:p w14:paraId="0CDCB43E">
            <w:pPr>
              <w:adjustRightInd w:val="0"/>
              <w:snapToGrid w:val="0"/>
              <w:jc w:val="center"/>
              <w:rPr>
                <w:bCs/>
                <w:color w:val="auto"/>
                <w:highlight w:val="none"/>
              </w:rPr>
            </w:pPr>
            <w:r>
              <w:rPr>
                <w:rFonts w:hint="eastAsia"/>
                <w:bCs/>
                <w:color w:val="auto"/>
                <w:highlight w:val="none"/>
              </w:rPr>
              <w:t>响和</w:t>
            </w:r>
          </w:p>
          <w:p w14:paraId="09FB54BE">
            <w:pPr>
              <w:adjustRightInd w:val="0"/>
              <w:snapToGrid w:val="0"/>
              <w:jc w:val="center"/>
              <w:rPr>
                <w:bCs/>
                <w:color w:val="auto"/>
                <w:highlight w:val="none"/>
              </w:rPr>
            </w:pPr>
            <w:r>
              <w:rPr>
                <w:rFonts w:hint="eastAsia"/>
                <w:bCs/>
                <w:color w:val="auto"/>
                <w:highlight w:val="none"/>
              </w:rPr>
              <w:t>保护</w:t>
            </w:r>
          </w:p>
          <w:p w14:paraId="09EEA291">
            <w:pPr>
              <w:adjustRightInd w:val="0"/>
              <w:snapToGrid w:val="0"/>
              <w:jc w:val="center"/>
              <w:rPr>
                <w:bCs/>
                <w:color w:val="auto"/>
                <w:highlight w:val="none"/>
              </w:rPr>
            </w:pPr>
            <w:r>
              <w:rPr>
                <w:rFonts w:hint="eastAsia"/>
                <w:bCs/>
                <w:color w:val="auto"/>
                <w:highlight w:val="none"/>
              </w:rPr>
              <w:t>措施</w:t>
            </w:r>
          </w:p>
        </w:tc>
        <w:tc>
          <w:tcPr>
            <w:tcW w:w="8162" w:type="dxa"/>
            <w:vAlign w:val="center"/>
          </w:tcPr>
          <w:p w14:paraId="22DF483B">
            <w:pPr>
              <w:pStyle w:val="56"/>
              <w:ind w:firstLine="496"/>
              <w:rPr>
                <w:color w:val="auto"/>
                <w:highlight w:val="none"/>
              </w:rPr>
            </w:pPr>
            <w:r>
              <w:rPr>
                <w:rFonts w:hint="eastAsia"/>
                <w:color w:val="auto"/>
                <w:highlight w:val="none"/>
              </w:rPr>
              <w:t>（2）噪声达标分析</w:t>
            </w:r>
          </w:p>
          <w:p w14:paraId="279D7F5A">
            <w:pPr>
              <w:pStyle w:val="56"/>
              <w:ind w:firstLine="496"/>
              <w:rPr>
                <w:color w:val="auto"/>
                <w:highlight w:val="none"/>
              </w:rPr>
            </w:pPr>
            <w:r>
              <w:rPr>
                <w:rFonts w:hint="eastAsia"/>
                <w:color w:val="auto"/>
                <w:highlight w:val="none"/>
              </w:rPr>
              <w:t>本项目噪声源经采取相应的隔声、降噪等防治措施后，再通过建筑物的隔声和距离衰减，噪声能达GB12348-2008《工业企业厂界环境噪声排放标准》表1中3类标准，故本项目噪声对周围声环境影响较小。</w:t>
            </w:r>
          </w:p>
          <w:p w14:paraId="602B7257">
            <w:pPr>
              <w:pStyle w:val="56"/>
              <w:ind w:firstLine="496"/>
              <w:rPr>
                <w:color w:val="auto"/>
                <w:highlight w:val="none"/>
              </w:rPr>
            </w:pPr>
            <w:r>
              <w:rPr>
                <w:rFonts w:hint="eastAsia"/>
                <w:color w:val="auto"/>
                <w:highlight w:val="none"/>
              </w:rPr>
              <w:t>根据实地勘察，本项目厂界周边50米范围内无敏感目标，故本项目噪声对周围环境影响较小。</w:t>
            </w:r>
          </w:p>
          <w:p w14:paraId="7DCE5ADA">
            <w:pPr>
              <w:pStyle w:val="56"/>
              <w:ind w:firstLine="496"/>
              <w:rPr>
                <w:snapToGrid w:val="0"/>
                <w:color w:val="auto"/>
                <w:highlight w:val="none"/>
              </w:rPr>
            </w:pPr>
            <w:r>
              <w:rPr>
                <w:rFonts w:hint="eastAsia"/>
                <w:snapToGrid w:val="0"/>
                <w:color w:val="auto"/>
                <w:highlight w:val="none"/>
                <w:lang w:val="zh-CN"/>
              </w:rPr>
              <w:t>（3）噪声防治措施</w:t>
            </w:r>
          </w:p>
          <w:p w14:paraId="708068EF">
            <w:pPr>
              <w:pStyle w:val="56"/>
              <w:ind w:firstLine="496"/>
              <w:rPr>
                <w:bCs/>
                <w:color w:val="auto"/>
                <w:highlight w:val="none"/>
              </w:rPr>
            </w:pPr>
            <w:r>
              <w:rPr>
                <w:rFonts w:hint="eastAsia"/>
                <w:bCs/>
                <w:color w:val="auto"/>
                <w:highlight w:val="none"/>
              </w:rPr>
              <w:t>根据《环境影响评价技术导则 声环境》（HJ2.4-2021）中噪声防治措施的一般要求，本项目需加强源头控制，合理规划噪声源与声环境保护目标布局；从噪声源、传播途径、声环境保护目标等方面采取措施；在技术经济可行条件下，优先考虑对噪声源和传播途径采取工程技术措施，实施噪声主动控制。</w:t>
            </w:r>
          </w:p>
          <w:p w14:paraId="09468FE4">
            <w:pPr>
              <w:adjustRightInd w:val="0"/>
              <w:snapToGrid w:val="0"/>
              <w:spacing w:line="360" w:lineRule="auto"/>
              <w:ind w:firstLine="480" w:firstLineChars="200"/>
              <w:rPr>
                <w:b/>
                <w:bCs/>
                <w:color w:val="auto"/>
                <w:highlight w:val="none"/>
              </w:rPr>
            </w:pPr>
            <w:r>
              <w:rPr>
                <w:rFonts w:hint="eastAsia"/>
                <w:color w:val="auto"/>
                <w:highlight w:val="none"/>
              </w:rPr>
              <w:t>建设单位针对噪声产生特点，对生产车间内的设备采取措施为：</w:t>
            </w:r>
            <w:r>
              <w:rPr>
                <w:rFonts w:hint="eastAsia" w:ascii="宋体" w:hAnsi="宋体"/>
                <w:color w:val="auto"/>
                <w:highlight w:val="none"/>
              </w:rPr>
              <w:t>①</w:t>
            </w:r>
            <w:r>
              <w:rPr>
                <w:rFonts w:hint="eastAsia"/>
                <w:color w:val="auto"/>
                <w:highlight w:val="none"/>
              </w:rPr>
              <w:t>优先选择用低噪声设备，</w:t>
            </w:r>
            <w:r>
              <w:rPr>
                <w:rFonts w:hint="eastAsia" w:ascii="宋体" w:hAnsi="宋体"/>
                <w:color w:val="auto"/>
                <w:highlight w:val="none"/>
              </w:rPr>
              <w:t>②</w:t>
            </w:r>
            <w:r>
              <w:rPr>
                <w:rFonts w:hint="eastAsia"/>
                <w:color w:val="auto"/>
                <w:highlight w:val="none"/>
              </w:rPr>
              <w:t>设备设置于内车间厂房隔声，距离衰减，</w:t>
            </w:r>
            <w:r>
              <w:rPr>
                <w:rFonts w:hint="eastAsia" w:ascii="宋体" w:hAnsi="宋体"/>
                <w:color w:val="auto"/>
                <w:highlight w:val="none"/>
              </w:rPr>
              <w:t>③</w:t>
            </w:r>
            <w:r>
              <w:rPr>
                <w:rFonts w:hint="eastAsia"/>
                <w:color w:val="auto"/>
                <w:highlight w:val="none"/>
              </w:rPr>
              <w:t>对设备进行经常性维护，保持设备处于良好的运转状态，同时加强内部管理，合理作业，避免不必要的突发性噪声。本项目所有设备均在室内，经厂房隔声、减振后，降噪量可达25dB（A）。</w:t>
            </w:r>
          </w:p>
          <w:p w14:paraId="145D6819">
            <w:pPr>
              <w:pStyle w:val="56"/>
              <w:ind w:firstLine="496"/>
              <w:rPr>
                <w:color w:val="auto"/>
                <w:highlight w:val="none"/>
              </w:rPr>
            </w:pPr>
            <w:r>
              <w:rPr>
                <w:rFonts w:hint="eastAsia"/>
                <w:color w:val="auto"/>
                <w:highlight w:val="none"/>
              </w:rPr>
              <w:t>因此，本环评认为项目拟采取的噪声污染防治措施在技术上是可行的。</w:t>
            </w:r>
          </w:p>
          <w:p w14:paraId="5E6F3DEE">
            <w:pPr>
              <w:pStyle w:val="56"/>
              <w:ind w:firstLine="496"/>
              <w:rPr>
                <w:color w:val="auto"/>
                <w:highlight w:val="none"/>
              </w:rPr>
            </w:pPr>
            <w:r>
              <w:rPr>
                <w:rFonts w:hint="eastAsia"/>
                <w:color w:val="auto"/>
                <w:highlight w:val="none"/>
              </w:rPr>
              <w:t>（4）监测要求</w:t>
            </w:r>
          </w:p>
          <w:p w14:paraId="6CA7ABCD">
            <w:pPr>
              <w:pStyle w:val="56"/>
              <w:ind w:firstLine="496"/>
              <w:rPr>
                <w:color w:val="auto"/>
                <w:highlight w:val="none"/>
              </w:rPr>
            </w:pPr>
            <w:r>
              <w:rPr>
                <w:rFonts w:hint="eastAsia"/>
                <w:color w:val="auto"/>
                <w:highlight w:val="none"/>
              </w:rPr>
              <w:t>根据《排污单位自行监测技术指南 总则》，本项目噪声污染物监测地点和频次如下：</w:t>
            </w:r>
          </w:p>
          <w:p w14:paraId="1F6AA72B">
            <w:pPr>
              <w:pStyle w:val="56"/>
              <w:ind w:firstLine="420"/>
              <w:rPr>
                <w:b/>
                <w:bCs/>
                <w:color w:val="auto"/>
                <w:highlight w:val="none"/>
              </w:rPr>
            </w:pPr>
            <w:r>
              <w:rPr>
                <w:b/>
                <w:bCs/>
                <w:color w:val="auto"/>
                <w:highlight w:val="none"/>
              </w:rPr>
              <w:t>4</w:t>
            </w:r>
            <w:r>
              <w:rPr>
                <w:rFonts w:hint="eastAsia"/>
                <w:b/>
                <w:bCs/>
                <w:color w:val="auto"/>
                <w:highlight w:val="none"/>
              </w:rPr>
              <w:t>、固体废物</w:t>
            </w:r>
          </w:p>
          <w:p w14:paraId="599BF0B0">
            <w:pPr>
              <w:pStyle w:val="56"/>
              <w:ind w:firstLine="498"/>
              <w:rPr>
                <w:b/>
                <w:bCs/>
                <w:color w:val="auto"/>
                <w:highlight w:val="none"/>
              </w:rPr>
            </w:pPr>
            <w:r>
              <w:rPr>
                <w:b/>
                <w:bCs/>
                <w:color w:val="auto"/>
                <w:highlight w:val="none"/>
              </w:rPr>
              <w:t>4.1</w:t>
            </w:r>
            <w:r>
              <w:rPr>
                <w:rFonts w:hint="eastAsia"/>
                <w:b/>
                <w:bCs/>
                <w:color w:val="auto"/>
                <w:highlight w:val="none"/>
              </w:rPr>
              <w:t>固废产生情况</w:t>
            </w:r>
          </w:p>
          <w:p w14:paraId="4E6D887F">
            <w:pPr>
              <w:pStyle w:val="56"/>
              <w:ind w:firstLine="496"/>
              <w:rPr>
                <w:color w:val="auto"/>
                <w:highlight w:val="none"/>
              </w:rPr>
            </w:pPr>
            <w:r>
              <w:rPr>
                <w:rFonts w:hint="eastAsia"/>
                <w:color w:val="auto"/>
                <w:highlight w:val="none"/>
              </w:rPr>
              <w:t>本项目固体废物主要为污泥和生活垃圾。</w:t>
            </w:r>
          </w:p>
          <w:p w14:paraId="243137A0">
            <w:pPr>
              <w:pStyle w:val="56"/>
              <w:ind w:firstLine="496"/>
              <w:rPr>
                <w:color w:val="auto"/>
                <w:highlight w:val="none"/>
              </w:rPr>
            </w:pPr>
            <w:r>
              <w:rPr>
                <w:rFonts w:hint="eastAsia"/>
                <w:color w:val="auto"/>
                <w:highlight w:val="none"/>
              </w:rPr>
              <w:t>建设项目固体废物产生情况见表</w:t>
            </w:r>
            <w:r>
              <w:rPr>
                <w:color w:val="auto"/>
                <w:highlight w:val="none"/>
              </w:rPr>
              <w:t>4-</w:t>
            </w:r>
            <w:r>
              <w:rPr>
                <w:rFonts w:hint="eastAsia"/>
                <w:color w:val="auto"/>
                <w:highlight w:val="none"/>
              </w:rPr>
              <w:t>13。</w:t>
            </w:r>
          </w:p>
          <w:p w14:paraId="6E74BB8B">
            <w:pPr>
              <w:pStyle w:val="56"/>
              <w:ind w:firstLine="498"/>
              <w:rPr>
                <w:b/>
                <w:bCs/>
                <w:color w:val="auto"/>
                <w:highlight w:val="none"/>
              </w:rPr>
            </w:pPr>
            <w:r>
              <w:rPr>
                <w:b/>
                <w:bCs/>
                <w:color w:val="auto"/>
                <w:highlight w:val="none"/>
              </w:rPr>
              <w:t>4.2</w:t>
            </w:r>
            <w:r>
              <w:rPr>
                <w:rFonts w:hint="eastAsia"/>
                <w:b/>
                <w:bCs/>
                <w:color w:val="auto"/>
                <w:highlight w:val="none"/>
              </w:rPr>
              <w:t>一般固废包装及贮存场所环境影响分析：</w:t>
            </w:r>
          </w:p>
          <w:p w14:paraId="0F4BC87F">
            <w:pPr>
              <w:pStyle w:val="56"/>
              <w:ind w:firstLine="496"/>
              <w:rPr>
                <w:color w:val="auto"/>
                <w:highlight w:val="none"/>
              </w:rPr>
            </w:pPr>
            <w:r>
              <w:rPr>
                <w:rFonts w:hint="eastAsia"/>
                <w:color w:val="auto"/>
                <w:highlight w:val="none"/>
              </w:rPr>
              <w:t>公司需参照《一般工业固体废物贮存和填埋污染控制标准》</w:t>
            </w:r>
            <w:r>
              <w:rPr>
                <w:color w:val="auto"/>
                <w:highlight w:val="none"/>
              </w:rPr>
              <w:t>GB18599-2020</w:t>
            </w:r>
            <w:r>
              <w:rPr>
                <w:rFonts w:hint="eastAsia"/>
                <w:color w:val="auto"/>
                <w:highlight w:val="none"/>
              </w:rPr>
              <w:t>要求建设固废堆场（1</w:t>
            </w:r>
            <w:r>
              <w:rPr>
                <w:color w:val="auto"/>
                <w:highlight w:val="none"/>
              </w:rPr>
              <w:t>0m</w:t>
            </w:r>
            <w:r>
              <w:rPr>
                <w:color w:val="auto"/>
                <w:highlight w:val="none"/>
                <w:vertAlign w:val="superscript"/>
              </w:rPr>
              <w:t>2</w:t>
            </w:r>
            <w:r>
              <w:rPr>
                <w:rFonts w:hint="eastAsia"/>
                <w:color w:val="auto"/>
                <w:highlight w:val="none"/>
              </w:rPr>
              <w:t>），具体如下：</w:t>
            </w:r>
          </w:p>
          <w:p w14:paraId="6957737F">
            <w:pPr>
              <w:pStyle w:val="56"/>
              <w:ind w:firstLine="480"/>
              <w:rPr>
                <w:color w:val="auto"/>
                <w:highlight w:val="none"/>
              </w:rPr>
            </w:pPr>
            <w:r>
              <w:rPr>
                <w:color w:val="auto"/>
                <w:highlight w:val="none"/>
              </w:rPr>
              <w:fldChar w:fldCharType="begin"/>
            </w:r>
            <w:r>
              <w:rPr>
                <w:color w:val="auto"/>
                <w:highlight w:val="none"/>
              </w:rPr>
              <w:instrText xml:space="preserve">=1\*GB3</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厂区内设置了专门的固废堆放场地；</w:t>
            </w:r>
          </w:p>
          <w:p w14:paraId="5AF6B44A">
            <w:pPr>
              <w:pStyle w:val="56"/>
              <w:ind w:firstLine="480"/>
              <w:rPr>
                <w:color w:val="auto"/>
                <w:highlight w:val="none"/>
              </w:rPr>
            </w:pPr>
            <w:r>
              <w:rPr>
                <w:color w:val="auto"/>
                <w:highlight w:val="none"/>
              </w:rPr>
              <w:fldChar w:fldCharType="begin"/>
            </w:r>
            <w:r>
              <w:rPr>
                <w:color w:val="auto"/>
                <w:highlight w:val="none"/>
              </w:rPr>
              <w:instrText xml:space="preserve">=2\*GB3</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为防止雨水径流进入贮存、处置场内，堆场置于室内；</w:t>
            </w:r>
          </w:p>
          <w:p w14:paraId="456F5CF7">
            <w:pPr>
              <w:pStyle w:val="56"/>
              <w:ind w:firstLine="480"/>
              <w:rPr>
                <w:color w:val="auto"/>
                <w:highlight w:val="none"/>
              </w:rPr>
            </w:pPr>
            <w:r>
              <w:rPr>
                <w:color w:val="auto"/>
                <w:highlight w:val="none"/>
              </w:rPr>
              <w:fldChar w:fldCharType="begin"/>
            </w:r>
            <w:r>
              <w:rPr>
                <w:color w:val="auto"/>
                <w:highlight w:val="none"/>
              </w:rPr>
              <w:instrText xml:space="preserve">=3\*GB3</w:instrText>
            </w:r>
            <w:r>
              <w:rPr>
                <w:color w:val="auto"/>
                <w:highlight w:val="none"/>
              </w:rPr>
              <w:fldChar w:fldCharType="separate"/>
            </w:r>
            <w:r>
              <w:rPr>
                <w:rFonts w:hint="eastAsia"/>
                <w:color w:val="auto"/>
                <w:highlight w:val="none"/>
              </w:rPr>
              <w:t>③</w:t>
            </w:r>
            <w:r>
              <w:rPr>
                <w:color w:val="auto"/>
                <w:highlight w:val="none"/>
              </w:rPr>
              <w:fldChar w:fldCharType="end"/>
            </w:r>
            <w:r>
              <w:rPr>
                <w:rFonts w:hint="eastAsia"/>
                <w:color w:val="auto"/>
                <w:highlight w:val="none"/>
              </w:rPr>
              <w:t>固废堆场地面均已硬化；</w:t>
            </w:r>
          </w:p>
          <w:p w14:paraId="5C4E40A7">
            <w:pPr>
              <w:pStyle w:val="56"/>
              <w:ind w:firstLine="480"/>
              <w:rPr>
                <w:color w:val="auto"/>
                <w:highlight w:val="none"/>
              </w:rPr>
            </w:pPr>
            <w:r>
              <w:rPr>
                <w:color w:val="auto"/>
                <w:highlight w:val="none"/>
              </w:rPr>
              <w:fldChar w:fldCharType="begin"/>
            </w:r>
            <w:r>
              <w:rPr>
                <w:color w:val="auto"/>
                <w:highlight w:val="none"/>
              </w:rPr>
              <w:instrText xml:space="preserve">=4\*GB3</w:instrText>
            </w:r>
            <w:r>
              <w:rPr>
                <w:color w:val="auto"/>
                <w:highlight w:val="none"/>
              </w:rPr>
              <w:fldChar w:fldCharType="separate"/>
            </w:r>
            <w:r>
              <w:rPr>
                <w:rFonts w:hint="eastAsia"/>
                <w:color w:val="auto"/>
                <w:highlight w:val="none"/>
              </w:rPr>
              <w:t>④</w:t>
            </w:r>
            <w:r>
              <w:rPr>
                <w:color w:val="auto"/>
                <w:highlight w:val="none"/>
              </w:rPr>
              <w:fldChar w:fldCharType="end"/>
            </w:r>
            <w:r>
              <w:rPr>
                <w:rFonts w:hint="eastAsia"/>
                <w:color w:val="auto"/>
                <w:highlight w:val="none"/>
              </w:rPr>
              <w:t>公司生活垃圾由当地环卫部门定期清运。</w:t>
            </w:r>
          </w:p>
          <w:p w14:paraId="4113271A">
            <w:pPr>
              <w:pStyle w:val="56"/>
              <w:ind w:firstLine="496"/>
              <w:rPr>
                <w:color w:val="auto"/>
                <w:highlight w:val="none"/>
              </w:rPr>
            </w:pPr>
            <w:r>
              <w:rPr>
                <w:rFonts w:hint="eastAsia"/>
                <w:color w:val="auto"/>
                <w:highlight w:val="none"/>
              </w:rPr>
              <w:t>本项目固体废物处置方式符合有关法规、标准要求，各类固废均采取了合理的综合利用和处置措施，不会对外环境造成二次污染，因此对周围环境基本无影响。</w:t>
            </w:r>
          </w:p>
          <w:p w14:paraId="16CFE185">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3风险防范措施</w:t>
            </w:r>
          </w:p>
          <w:p w14:paraId="400B7353">
            <w:pPr>
              <w:pStyle w:val="56"/>
              <w:ind w:firstLine="496"/>
              <w:rPr>
                <w:color w:val="auto"/>
                <w:highlight w:val="none"/>
              </w:rPr>
            </w:pPr>
            <w:r>
              <w:rPr>
                <w:rFonts w:hint="eastAsia"/>
                <w:color w:val="auto"/>
                <w:highlight w:val="none"/>
              </w:rPr>
              <w:t>根据《建设项目环境风险评价技术导则》（</w:t>
            </w:r>
            <w:r>
              <w:rPr>
                <w:color w:val="auto"/>
                <w:highlight w:val="none"/>
              </w:rPr>
              <w:t>HJ169-2018</w:t>
            </w:r>
            <w:r>
              <w:rPr>
                <w:rFonts w:hint="eastAsia"/>
                <w:color w:val="auto"/>
                <w:highlight w:val="none"/>
              </w:rPr>
              <w:t>）附录</w:t>
            </w:r>
            <w:r>
              <w:rPr>
                <w:color w:val="auto"/>
                <w:highlight w:val="none"/>
              </w:rPr>
              <w:t>A.1</w:t>
            </w:r>
            <w:r>
              <w:rPr>
                <w:rFonts w:hint="eastAsia"/>
                <w:color w:val="auto"/>
                <w:highlight w:val="none"/>
              </w:rPr>
              <w:t>中相关物质辨识标准、《化学品分类、警示性标签和警示说明安全规范急性毒性》（</w:t>
            </w:r>
            <w:r>
              <w:rPr>
                <w:color w:val="auto"/>
                <w:highlight w:val="none"/>
              </w:rPr>
              <w:t>GB20592-2006</w:t>
            </w:r>
            <w:r>
              <w:rPr>
                <w:rFonts w:hint="eastAsia"/>
                <w:color w:val="auto"/>
                <w:highlight w:val="none"/>
              </w:rPr>
              <w:t>），《职业性接触毒物危害程度分析》（</w:t>
            </w:r>
            <w:r>
              <w:rPr>
                <w:color w:val="auto"/>
                <w:highlight w:val="none"/>
              </w:rPr>
              <w:t>GBZ230-2010</w:t>
            </w:r>
            <w:r>
              <w:rPr>
                <w:rFonts w:hint="eastAsia"/>
                <w:color w:val="auto"/>
                <w:highlight w:val="none"/>
              </w:rPr>
              <w:t>）等，本项目不存在重大危险源。</w:t>
            </w:r>
          </w:p>
          <w:p w14:paraId="1253FFFC">
            <w:pPr>
              <w:pStyle w:val="56"/>
              <w:ind w:firstLine="496"/>
              <w:rPr>
                <w:color w:val="auto"/>
                <w:highlight w:val="none"/>
              </w:rPr>
            </w:pPr>
            <w:r>
              <w:rPr>
                <w:rFonts w:hint="eastAsia"/>
                <w:color w:val="auto"/>
                <w:highlight w:val="none"/>
              </w:rPr>
              <w:t>根据本项目实际情况，本评价提出如下风险防范措施：</w:t>
            </w:r>
          </w:p>
          <w:p w14:paraId="3B902F4E">
            <w:pPr>
              <w:pStyle w:val="56"/>
              <w:ind w:firstLine="496"/>
              <w:rPr>
                <w:color w:val="auto"/>
                <w:highlight w:val="none"/>
              </w:rPr>
            </w:pPr>
            <w:r>
              <w:rPr>
                <w:rFonts w:hint="eastAsia"/>
                <w:color w:val="auto"/>
                <w:highlight w:val="none"/>
              </w:rPr>
              <w:t>①结合消防等专业制定事故应急预案，一旦发生事故后能够及时采取有效措施进行科学处置，将事故破坏降至最低限度，同时考虑各种处置方案的科学合理性以及有效性。</w:t>
            </w:r>
          </w:p>
          <w:p w14:paraId="25738520">
            <w:pPr>
              <w:pStyle w:val="56"/>
              <w:ind w:firstLine="496"/>
              <w:rPr>
                <w:color w:val="auto"/>
                <w:highlight w:val="none"/>
              </w:rPr>
            </w:pPr>
            <w:r>
              <w:rPr>
                <w:rFonts w:hint="eastAsia"/>
                <w:color w:val="auto"/>
                <w:highlight w:val="none"/>
              </w:rPr>
              <w:t>必须指出的是，固体废物处理处置前在厂内的堆放、贮存场所应按照国家固体废物贮存有关要求设置；各种固体废物在厂内堆放和转移输运过程应防止对环境造成影响，堆放场所采取防火、防扬散、防流失、防渗漏或者其他防止污染环境的措施后，降低对环境的影响。</w:t>
            </w:r>
          </w:p>
          <w:p w14:paraId="5BC6E288">
            <w:pPr>
              <w:pStyle w:val="56"/>
              <w:ind w:firstLine="496"/>
              <w:rPr>
                <w:color w:val="auto"/>
                <w:highlight w:val="none"/>
              </w:rPr>
            </w:pPr>
            <w:r>
              <w:rPr>
                <w:rFonts w:hint="eastAsia"/>
                <w:color w:val="auto"/>
                <w:highlight w:val="none"/>
              </w:rPr>
              <w:t>通过以上措施，建设项目产生的固体废物均得到了妥善处置和利用，对外环境的影响可减至最小程度。</w:t>
            </w:r>
          </w:p>
          <w:p w14:paraId="77ED674D">
            <w:pPr>
              <w:pStyle w:val="56"/>
              <w:ind w:firstLine="498"/>
              <w:rPr>
                <w:b/>
                <w:bCs/>
                <w:color w:val="auto"/>
                <w:highlight w:val="none"/>
              </w:rPr>
            </w:pPr>
            <w:r>
              <w:rPr>
                <w:b/>
                <w:bCs/>
                <w:color w:val="auto"/>
                <w:highlight w:val="none"/>
              </w:rPr>
              <w:t>4.</w:t>
            </w:r>
            <w:r>
              <w:rPr>
                <w:rFonts w:hint="eastAsia"/>
                <w:b/>
                <w:bCs/>
                <w:color w:val="auto"/>
                <w:highlight w:val="none"/>
              </w:rPr>
              <w:t>4突发环境事件应急预案</w:t>
            </w:r>
          </w:p>
          <w:p w14:paraId="69A0E464">
            <w:pPr>
              <w:pStyle w:val="56"/>
              <w:ind w:firstLine="496"/>
              <w:rPr>
                <w:color w:val="auto"/>
                <w:highlight w:val="none"/>
              </w:rPr>
            </w:pPr>
            <w:r>
              <w:rPr>
                <w:rFonts w:hint="eastAsia"/>
                <w:color w:val="auto"/>
                <w:highlight w:val="none"/>
              </w:rPr>
              <w:t>制定环境风险事故应急预案的目的是为了在发生突发事件时，能以最快的速度发挥最大的效能，有序的实施救援，尽快控制事态的发展，降低事故造成的危害，减少事故造成的损失。</w:t>
            </w:r>
          </w:p>
          <w:p w14:paraId="5C66AE10">
            <w:pPr>
              <w:pStyle w:val="56"/>
              <w:ind w:firstLine="496"/>
              <w:rPr>
                <w:color w:val="auto"/>
                <w:highlight w:val="none"/>
              </w:rPr>
            </w:pPr>
            <w:r>
              <w:rPr>
                <w:rFonts w:hint="eastAsia"/>
                <w:color w:val="auto"/>
                <w:highlight w:val="none"/>
              </w:rPr>
              <w:t>根据《建设项目环境风险评价技术导则》（</w:t>
            </w:r>
            <w:r>
              <w:rPr>
                <w:color w:val="auto"/>
                <w:highlight w:val="none"/>
              </w:rPr>
              <w:t>HJ169-2018</w:t>
            </w:r>
            <w:r>
              <w:rPr>
                <w:rFonts w:hint="eastAsia"/>
                <w:color w:val="auto"/>
                <w:highlight w:val="none"/>
              </w:rPr>
              <w:t>），制定该项目的环境风险事故初步应急预案，供厂方参考，环境风险事故应急预案的内容主要有以下几点：</w:t>
            </w:r>
          </w:p>
          <w:p w14:paraId="6A307E91">
            <w:pPr>
              <w:pStyle w:val="56"/>
              <w:ind w:firstLine="496"/>
              <w:rPr>
                <w:color w:val="auto"/>
                <w:highlight w:val="none"/>
              </w:rPr>
            </w:pPr>
            <w:r>
              <w:rPr>
                <w:color w:val="auto"/>
                <w:highlight w:val="none"/>
              </w:rPr>
              <w:t>a</w:t>
            </w:r>
            <w:r>
              <w:rPr>
                <w:rFonts w:hint="eastAsia"/>
                <w:color w:val="auto"/>
                <w:highlight w:val="none"/>
              </w:rPr>
              <w:t>、设立应急组织机构、人员</w:t>
            </w:r>
          </w:p>
          <w:p w14:paraId="617469F3">
            <w:pPr>
              <w:pStyle w:val="56"/>
              <w:ind w:firstLine="496"/>
              <w:rPr>
                <w:color w:val="auto"/>
                <w:highlight w:val="none"/>
              </w:rPr>
            </w:pPr>
            <w:r>
              <w:rPr>
                <w:rFonts w:hint="eastAsia"/>
                <w:color w:val="auto"/>
                <w:highlight w:val="none"/>
              </w:rPr>
              <w:t>公司应该成立“应急救援领导小组”，当发生突发事件的时，能尽快采取有效措施，第一时间投入紧急事故处理，以防事态进一步扩大。</w:t>
            </w:r>
          </w:p>
          <w:p w14:paraId="4A1170FC">
            <w:pPr>
              <w:pStyle w:val="56"/>
              <w:ind w:firstLine="496"/>
              <w:rPr>
                <w:color w:val="auto"/>
                <w:highlight w:val="none"/>
              </w:rPr>
            </w:pPr>
            <w:r>
              <w:rPr>
                <w:color w:val="auto"/>
                <w:highlight w:val="none"/>
              </w:rPr>
              <w:t>b</w:t>
            </w:r>
            <w:r>
              <w:rPr>
                <w:rFonts w:hint="eastAsia"/>
                <w:color w:val="auto"/>
                <w:highlight w:val="none"/>
              </w:rPr>
              <w:t>、配备应急救援保障</w:t>
            </w:r>
          </w:p>
          <w:p w14:paraId="1A2847FE">
            <w:pPr>
              <w:pStyle w:val="56"/>
              <w:ind w:firstLine="496"/>
              <w:rPr>
                <w:color w:val="auto"/>
                <w:highlight w:val="none"/>
              </w:rPr>
            </w:pPr>
            <w:r>
              <w:rPr>
                <w:rFonts w:hint="eastAsia"/>
                <w:color w:val="auto"/>
                <w:highlight w:val="none"/>
              </w:rPr>
              <w:t>整个厂区的公用工程、行政管理及生产设施人员全部由公司统一配置，如：消防设施、应急通讯、道路交通、应急电源、厂内备有危险目标的重要设备备件和事故应急救援时所需的各类物资等。</w:t>
            </w:r>
          </w:p>
          <w:p w14:paraId="165EA9F3">
            <w:pPr>
              <w:pStyle w:val="56"/>
              <w:ind w:firstLine="496"/>
              <w:rPr>
                <w:color w:val="auto"/>
                <w:highlight w:val="none"/>
              </w:rPr>
            </w:pPr>
            <w:r>
              <w:rPr>
                <w:rFonts w:hint="eastAsia"/>
                <w:color w:val="auto"/>
                <w:highlight w:val="none"/>
              </w:rPr>
              <w:t>同时还应该考虑外部救援，比如单位互助，平时与周邻单位约定救援信号，届时发出信号请求救援。</w:t>
            </w:r>
          </w:p>
          <w:p w14:paraId="48AA9E7A">
            <w:pPr>
              <w:pStyle w:val="56"/>
              <w:ind w:firstLine="496"/>
              <w:rPr>
                <w:color w:val="auto"/>
                <w:highlight w:val="none"/>
              </w:rPr>
            </w:pPr>
            <w:r>
              <w:rPr>
                <w:color w:val="auto"/>
                <w:highlight w:val="none"/>
              </w:rPr>
              <w:t>c</w:t>
            </w:r>
            <w:r>
              <w:rPr>
                <w:rFonts w:hint="eastAsia"/>
                <w:color w:val="auto"/>
                <w:highlight w:val="none"/>
              </w:rPr>
              <w:t>、应急环境监测、抢险、救援及控制措施</w:t>
            </w:r>
          </w:p>
          <w:p w14:paraId="548E87EF">
            <w:pPr>
              <w:pStyle w:val="56"/>
              <w:ind w:firstLine="496"/>
              <w:rPr>
                <w:color w:val="auto"/>
                <w:highlight w:val="none"/>
              </w:rPr>
            </w:pPr>
            <w:r>
              <w:rPr>
                <w:rFonts w:hint="eastAsia"/>
                <w:color w:val="auto"/>
                <w:highlight w:val="none"/>
              </w:rPr>
              <w:t>抢险抢修队到达现场后，根据指挥部下达的抢修指令，迅速进行抢修设备，控制事故。医疗救护队到达现场后，与消防队配合，立即救护伤员，治安队到达现场后，迅速组织救护伤员撤离，组织纠察在事故现场周围设岗划分禁区或加强警戒和巡逻检查等，救援措施后，努力争取在事故发生的初期阶段控制住险情，如事故可能扩大，应立即上报政府部门，请求增援。</w:t>
            </w:r>
          </w:p>
          <w:p w14:paraId="7B01BEF3">
            <w:pPr>
              <w:pStyle w:val="56"/>
              <w:ind w:firstLine="496"/>
              <w:rPr>
                <w:color w:val="auto"/>
                <w:highlight w:val="none"/>
              </w:rPr>
            </w:pPr>
            <w:r>
              <w:rPr>
                <w:color w:val="auto"/>
                <w:highlight w:val="none"/>
              </w:rPr>
              <w:t>d</w:t>
            </w:r>
            <w:r>
              <w:rPr>
                <w:rFonts w:hint="eastAsia"/>
                <w:color w:val="auto"/>
                <w:highlight w:val="none"/>
              </w:rPr>
              <w:t>、制定和实施已经培训计划</w:t>
            </w:r>
          </w:p>
          <w:p w14:paraId="0D077C66">
            <w:pPr>
              <w:pStyle w:val="56"/>
              <w:ind w:firstLine="496"/>
              <w:rPr>
                <w:color w:val="auto"/>
                <w:highlight w:val="none"/>
              </w:rPr>
            </w:pPr>
            <w:r>
              <w:rPr>
                <w:rFonts w:hint="eastAsia"/>
                <w:color w:val="auto"/>
                <w:highlight w:val="none"/>
              </w:rPr>
              <w:t>安全环保品质管理室应半年一次定期组织开展全员安全教育和业务技术培训。事故应急处理措施，并能及时正确进行事故应急处置。会正确使用各种灭火器材，发生事故及时报警。消防队员要经常开展业务技术训练和突发性事故应急救援训练。</w:t>
            </w:r>
          </w:p>
          <w:p w14:paraId="733BFBF1">
            <w:pPr>
              <w:pStyle w:val="56"/>
              <w:ind w:firstLine="496"/>
              <w:rPr>
                <w:color w:val="auto"/>
                <w:highlight w:val="none"/>
              </w:rPr>
            </w:pPr>
            <w:r>
              <w:rPr>
                <w:color w:val="auto"/>
                <w:highlight w:val="none"/>
              </w:rPr>
              <w:t>e</w:t>
            </w:r>
            <w:r>
              <w:rPr>
                <w:rFonts w:hint="eastAsia"/>
                <w:color w:val="auto"/>
                <w:highlight w:val="none"/>
              </w:rPr>
              <w:t>、定期进行公众教育和信息发布</w:t>
            </w:r>
          </w:p>
          <w:p w14:paraId="5F3D30CE">
            <w:pPr>
              <w:pStyle w:val="56"/>
              <w:ind w:firstLine="498"/>
              <w:rPr>
                <w:b/>
                <w:bCs/>
                <w:color w:val="auto"/>
                <w:highlight w:val="none"/>
              </w:rPr>
            </w:pPr>
            <w:r>
              <w:rPr>
                <w:b/>
                <w:bCs/>
                <w:color w:val="auto"/>
                <w:highlight w:val="none"/>
              </w:rPr>
              <w:t>4.</w:t>
            </w:r>
            <w:r>
              <w:rPr>
                <w:rFonts w:hint="eastAsia"/>
                <w:b/>
                <w:bCs/>
                <w:color w:val="auto"/>
                <w:highlight w:val="none"/>
              </w:rPr>
              <w:t>5固体废物环境管理与监测</w:t>
            </w:r>
          </w:p>
          <w:p w14:paraId="49862A2C">
            <w:pPr>
              <w:pStyle w:val="56"/>
              <w:ind w:firstLine="496"/>
              <w:rPr>
                <w:color w:val="auto"/>
                <w:highlight w:val="none"/>
              </w:rPr>
            </w:pPr>
            <w:r>
              <w:rPr>
                <w:rFonts w:hint="eastAsia"/>
                <w:color w:val="auto"/>
                <w:highlight w:val="none"/>
              </w:rPr>
              <w:t>江阴市厚正玻璃制品有限公司为固体废物污染防治的责任主体，企业应建立风险管理及应急救援体系，执行环境监测计划及国家和省有关转移管理的相关规定、处置过程安全操作规程、人员培训考核制度、档案管理制度、处置全过程管理制度等。</w:t>
            </w:r>
          </w:p>
          <w:p w14:paraId="3B0CC3EF">
            <w:pPr>
              <w:pStyle w:val="56"/>
              <w:ind w:firstLine="498"/>
              <w:rPr>
                <w:b/>
                <w:bCs/>
                <w:color w:val="auto"/>
                <w:highlight w:val="none"/>
              </w:rPr>
            </w:pPr>
            <w:r>
              <w:rPr>
                <w:b/>
                <w:bCs/>
                <w:color w:val="auto"/>
                <w:highlight w:val="none"/>
              </w:rPr>
              <w:t>4.</w:t>
            </w:r>
            <w:r>
              <w:rPr>
                <w:rFonts w:hint="eastAsia"/>
                <w:b/>
                <w:bCs/>
                <w:color w:val="auto"/>
                <w:highlight w:val="none"/>
              </w:rPr>
              <w:t>6</w:t>
            </w:r>
            <w:r>
              <w:rPr>
                <w:b/>
                <w:bCs/>
                <w:color w:val="auto"/>
                <w:highlight w:val="none"/>
              </w:rPr>
              <w:t>与《江苏省固体废物全过程环境监管工作意见》（苏环办〔2024〕16号）相符性分析</w:t>
            </w:r>
          </w:p>
          <w:p w14:paraId="73C57B84">
            <w:pPr>
              <w:pStyle w:val="56"/>
              <w:ind w:firstLine="0" w:firstLineChars="0"/>
              <w:jc w:val="center"/>
              <w:rPr>
                <w:b/>
                <w:bCs/>
                <w:color w:val="auto"/>
                <w:highlight w:val="none"/>
              </w:rPr>
            </w:pPr>
            <w:r>
              <w:rPr>
                <w:b/>
                <w:bCs/>
                <w:color w:val="auto"/>
                <w:highlight w:val="none"/>
              </w:rPr>
              <w:t>表4-</w:t>
            </w:r>
            <w:r>
              <w:rPr>
                <w:rFonts w:hint="eastAsia"/>
                <w:b/>
                <w:bCs/>
                <w:color w:val="auto"/>
                <w:highlight w:val="none"/>
              </w:rPr>
              <w:t>17</w:t>
            </w:r>
            <w:r>
              <w:rPr>
                <w:b/>
                <w:bCs/>
                <w:color w:val="auto"/>
                <w:highlight w:val="none"/>
              </w:rPr>
              <w:t xml:space="preserve"> 本项目与苏环办〔2024〕16号文相符性分析表</w:t>
            </w:r>
          </w:p>
          <w:tbl>
            <w:tblPr>
              <w:tblStyle w:val="27"/>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347"/>
              <w:gridCol w:w="4981"/>
              <w:gridCol w:w="1845"/>
              <w:gridCol w:w="348"/>
            </w:tblGrid>
            <w:tr w14:paraId="1F7ED2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1" w:hRule="atLeast"/>
              </w:trPr>
              <w:tc>
                <w:tcPr>
                  <w:tcW w:w="0" w:type="auto"/>
                  <w:tcBorders>
                    <w:top w:val="single" w:color="auto" w:sz="12" w:space="0"/>
                    <w:left w:val="nil"/>
                    <w:bottom w:val="single" w:color="auto" w:sz="12" w:space="0"/>
                    <w:right w:val="single" w:color="auto" w:sz="4" w:space="0"/>
                  </w:tcBorders>
                  <w:vAlign w:val="center"/>
                </w:tcPr>
                <w:p w14:paraId="7A207308">
                  <w:pPr>
                    <w:pStyle w:val="58"/>
                    <w:rPr>
                      <w:b/>
                      <w:bCs/>
                      <w:color w:val="auto"/>
                      <w:highlight w:val="none"/>
                    </w:rPr>
                  </w:pPr>
                  <w:r>
                    <w:rPr>
                      <w:b/>
                      <w:bCs/>
                      <w:color w:val="auto"/>
                      <w:highlight w:val="none"/>
                    </w:rPr>
                    <w:t>序号</w:t>
                  </w:r>
                </w:p>
              </w:tc>
              <w:tc>
                <w:tcPr>
                  <w:tcW w:w="0" w:type="auto"/>
                  <w:tcBorders>
                    <w:top w:val="single" w:color="auto" w:sz="12" w:space="0"/>
                    <w:left w:val="single" w:color="auto" w:sz="4" w:space="0"/>
                    <w:bottom w:val="single" w:color="auto" w:sz="12" w:space="0"/>
                    <w:right w:val="single" w:color="auto" w:sz="4" w:space="0"/>
                  </w:tcBorders>
                  <w:vAlign w:val="center"/>
                </w:tcPr>
                <w:p w14:paraId="49E9F251">
                  <w:pPr>
                    <w:pStyle w:val="58"/>
                    <w:rPr>
                      <w:b/>
                      <w:bCs/>
                      <w:color w:val="auto"/>
                      <w:highlight w:val="none"/>
                    </w:rPr>
                  </w:pPr>
                  <w:r>
                    <w:rPr>
                      <w:b/>
                      <w:bCs/>
                      <w:color w:val="auto"/>
                      <w:highlight w:val="none"/>
                    </w:rPr>
                    <w:t>文件规定要求</w:t>
                  </w:r>
                </w:p>
              </w:tc>
              <w:tc>
                <w:tcPr>
                  <w:tcW w:w="0" w:type="auto"/>
                  <w:tcBorders>
                    <w:top w:val="single" w:color="auto" w:sz="12" w:space="0"/>
                    <w:left w:val="single" w:color="auto" w:sz="4" w:space="0"/>
                    <w:bottom w:val="single" w:color="auto" w:sz="12" w:space="0"/>
                    <w:right w:val="single" w:color="auto" w:sz="4" w:space="0"/>
                  </w:tcBorders>
                  <w:vAlign w:val="center"/>
                </w:tcPr>
                <w:p w14:paraId="2F01E35F">
                  <w:pPr>
                    <w:pStyle w:val="58"/>
                    <w:rPr>
                      <w:b/>
                      <w:bCs/>
                      <w:color w:val="auto"/>
                      <w:highlight w:val="none"/>
                    </w:rPr>
                  </w:pPr>
                  <w:r>
                    <w:rPr>
                      <w:b/>
                      <w:bCs/>
                      <w:color w:val="auto"/>
                      <w:highlight w:val="none"/>
                    </w:rPr>
                    <w:t>拟实施情况</w:t>
                  </w:r>
                </w:p>
              </w:tc>
              <w:tc>
                <w:tcPr>
                  <w:tcW w:w="0" w:type="auto"/>
                  <w:tcBorders>
                    <w:top w:val="single" w:color="auto" w:sz="12" w:space="0"/>
                    <w:left w:val="single" w:color="auto" w:sz="4" w:space="0"/>
                    <w:bottom w:val="single" w:color="auto" w:sz="12" w:space="0"/>
                    <w:right w:val="nil"/>
                  </w:tcBorders>
                  <w:vAlign w:val="center"/>
                </w:tcPr>
                <w:p w14:paraId="767C7419">
                  <w:pPr>
                    <w:pStyle w:val="58"/>
                    <w:rPr>
                      <w:b/>
                      <w:bCs/>
                      <w:color w:val="auto"/>
                      <w:highlight w:val="none"/>
                    </w:rPr>
                  </w:pPr>
                  <w:r>
                    <w:rPr>
                      <w:b/>
                      <w:bCs/>
                      <w:color w:val="auto"/>
                      <w:highlight w:val="none"/>
                    </w:rPr>
                    <w:t>备注</w:t>
                  </w:r>
                </w:p>
              </w:tc>
            </w:tr>
            <w:tr w14:paraId="18E7D9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0" w:hRule="atLeast"/>
              </w:trPr>
              <w:tc>
                <w:tcPr>
                  <w:tcW w:w="0" w:type="auto"/>
                  <w:tcBorders>
                    <w:top w:val="single" w:color="auto" w:sz="12" w:space="0"/>
                    <w:left w:val="nil"/>
                    <w:bottom w:val="single" w:color="auto" w:sz="4" w:space="0"/>
                    <w:right w:val="single" w:color="auto" w:sz="4" w:space="0"/>
                  </w:tcBorders>
                  <w:vAlign w:val="center"/>
                </w:tcPr>
                <w:p w14:paraId="5F6F9575">
                  <w:pPr>
                    <w:pStyle w:val="58"/>
                    <w:rPr>
                      <w:color w:val="auto"/>
                      <w:highlight w:val="none"/>
                    </w:rPr>
                  </w:pPr>
                  <w:r>
                    <w:rPr>
                      <w:color w:val="auto"/>
                      <w:highlight w:val="none"/>
                    </w:rPr>
                    <w:t>1</w:t>
                  </w:r>
                </w:p>
              </w:tc>
              <w:tc>
                <w:tcPr>
                  <w:tcW w:w="0" w:type="auto"/>
                  <w:tcBorders>
                    <w:top w:val="single" w:color="auto" w:sz="12" w:space="0"/>
                    <w:left w:val="single" w:color="auto" w:sz="4" w:space="0"/>
                    <w:bottom w:val="single" w:color="auto" w:sz="4" w:space="0"/>
                    <w:right w:val="single" w:color="auto" w:sz="4" w:space="0"/>
                  </w:tcBorders>
                  <w:vAlign w:val="center"/>
                </w:tcPr>
                <w:p w14:paraId="56C599E5">
                  <w:pPr>
                    <w:pStyle w:val="58"/>
                    <w:rPr>
                      <w:color w:val="auto"/>
                      <w:highlight w:val="none"/>
                    </w:rPr>
                  </w:pPr>
                  <w:r>
                    <w:rPr>
                      <w:color w:val="auto"/>
                      <w:highlight w:val="none"/>
                    </w:rPr>
                    <w:t>规范项目环评审批。建设项目环评要评价产生的固体废物种类、数量、来源和属性，论述贮存、转移和利用处置方式合规性、合理性，提出切实可行的污染防治对策措施。所有产物要按照以下五类属性给予明确并规范表述：目标产物(产品、副产品)鉴别属于产品(符合国家、地方或行业标准)、可定向用于特定用途按产品管理(如符合团体标准)、一般固体废物和危险废物。不得将不符合GB34330、HJ1091等标准的产物认定为“再生产品”，不得出现“中间产物”“再生产物”等不规范表述，严禁以“副产品”名义逃避监管。不能排除危险特性的固体废物，须在环评文件中明确具体鉴别方案，鉴别前按危险废物管理，鉴别后根据结论按一般固废或危险废物管理。危险废物经营单位项目环评审批要点要与危险废物经营许可审查要求衔接一致。</w:t>
                  </w:r>
                </w:p>
              </w:tc>
              <w:tc>
                <w:tcPr>
                  <w:tcW w:w="0" w:type="auto"/>
                  <w:tcBorders>
                    <w:top w:val="single" w:color="auto" w:sz="12" w:space="0"/>
                    <w:left w:val="single" w:color="auto" w:sz="4" w:space="0"/>
                    <w:bottom w:val="single" w:color="auto" w:sz="4" w:space="0"/>
                    <w:right w:val="single" w:color="auto" w:sz="4" w:space="0"/>
                  </w:tcBorders>
                  <w:vAlign w:val="center"/>
                </w:tcPr>
                <w:p w14:paraId="75ADD1B6">
                  <w:pPr>
                    <w:pStyle w:val="58"/>
                    <w:rPr>
                      <w:color w:val="auto"/>
                      <w:highlight w:val="none"/>
                    </w:rPr>
                  </w:pPr>
                  <w:r>
                    <w:rPr>
                      <w:color w:val="auto"/>
                      <w:highlight w:val="none"/>
                    </w:rPr>
                    <w:t>详见固体废物环境影响分析章节（4、固体废物）。</w:t>
                  </w:r>
                </w:p>
              </w:tc>
              <w:tc>
                <w:tcPr>
                  <w:tcW w:w="0" w:type="auto"/>
                  <w:tcBorders>
                    <w:top w:val="single" w:color="auto" w:sz="12" w:space="0"/>
                    <w:left w:val="single" w:color="auto" w:sz="4" w:space="0"/>
                    <w:bottom w:val="single" w:color="auto" w:sz="4" w:space="0"/>
                    <w:right w:val="nil"/>
                  </w:tcBorders>
                  <w:vAlign w:val="center"/>
                </w:tcPr>
                <w:p w14:paraId="2853260F">
                  <w:pPr>
                    <w:pStyle w:val="58"/>
                    <w:rPr>
                      <w:color w:val="auto"/>
                      <w:highlight w:val="none"/>
                    </w:rPr>
                  </w:pPr>
                  <w:r>
                    <w:rPr>
                      <w:color w:val="auto"/>
                      <w:highlight w:val="none"/>
                    </w:rPr>
                    <w:t>符合</w:t>
                  </w:r>
                </w:p>
              </w:tc>
            </w:tr>
            <w:tr w14:paraId="2EB355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83" w:hRule="atLeast"/>
              </w:trPr>
              <w:tc>
                <w:tcPr>
                  <w:tcW w:w="0" w:type="auto"/>
                  <w:tcBorders>
                    <w:top w:val="single" w:color="auto" w:sz="4" w:space="0"/>
                    <w:left w:val="nil"/>
                    <w:bottom w:val="single" w:color="auto" w:sz="4" w:space="0"/>
                    <w:right w:val="single" w:color="auto" w:sz="4" w:space="0"/>
                  </w:tcBorders>
                  <w:vAlign w:val="center"/>
                </w:tcPr>
                <w:p w14:paraId="118FEB5B">
                  <w:pPr>
                    <w:pStyle w:val="58"/>
                    <w:rPr>
                      <w:color w:val="auto"/>
                      <w:highlight w:val="none"/>
                    </w:rPr>
                  </w:pPr>
                  <w:r>
                    <w:rPr>
                      <w:color w:val="auto"/>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5944AC18">
                  <w:pPr>
                    <w:pStyle w:val="58"/>
                    <w:rPr>
                      <w:color w:val="auto"/>
                      <w:highlight w:val="none"/>
                    </w:rPr>
                  </w:pPr>
                  <w:r>
                    <w:rPr>
                      <w:color w:val="auto"/>
                      <w:highlight w:val="none"/>
                    </w:rPr>
                    <w:t>落实排污许可制度。企业要在排污许可管理系统中全面、准确申报工业固体废物产生种类，以及贮存设施和利用处置等相关情况，并对其真实性负责。实际产生、转移、贮存和利用处置情况对照项目环评发生变动的,要根据变动情况及时采取重新报批环评、纳入环境保护竣工验收等手续，并及时变更排污许可。</w:t>
                  </w:r>
                </w:p>
              </w:tc>
              <w:tc>
                <w:tcPr>
                  <w:tcW w:w="0" w:type="auto"/>
                  <w:tcBorders>
                    <w:top w:val="single" w:color="auto" w:sz="4" w:space="0"/>
                    <w:left w:val="single" w:color="auto" w:sz="4" w:space="0"/>
                    <w:bottom w:val="single" w:color="auto" w:sz="4" w:space="0"/>
                    <w:right w:val="single" w:color="auto" w:sz="4" w:space="0"/>
                  </w:tcBorders>
                  <w:vAlign w:val="center"/>
                </w:tcPr>
                <w:p w14:paraId="3A8AEABD">
                  <w:pPr>
                    <w:pStyle w:val="58"/>
                    <w:rPr>
                      <w:color w:val="auto"/>
                      <w:highlight w:val="none"/>
                    </w:rPr>
                  </w:pPr>
                  <w:r>
                    <w:rPr>
                      <w:color w:val="auto"/>
                      <w:highlight w:val="none"/>
                    </w:rPr>
                    <w:t>本项目实施后，企业将会进行排污许可管理系统的申报。</w:t>
                  </w:r>
                </w:p>
              </w:tc>
              <w:tc>
                <w:tcPr>
                  <w:tcW w:w="0" w:type="auto"/>
                  <w:tcBorders>
                    <w:top w:val="single" w:color="auto" w:sz="4" w:space="0"/>
                    <w:left w:val="single" w:color="auto" w:sz="4" w:space="0"/>
                    <w:bottom w:val="single" w:color="auto" w:sz="4" w:space="0"/>
                    <w:right w:val="nil"/>
                  </w:tcBorders>
                  <w:vAlign w:val="center"/>
                </w:tcPr>
                <w:p w14:paraId="7E5C1C37">
                  <w:pPr>
                    <w:pStyle w:val="58"/>
                    <w:rPr>
                      <w:color w:val="auto"/>
                      <w:highlight w:val="none"/>
                    </w:rPr>
                  </w:pPr>
                  <w:r>
                    <w:rPr>
                      <w:color w:val="auto"/>
                      <w:highlight w:val="none"/>
                    </w:rPr>
                    <w:t>符合</w:t>
                  </w:r>
                </w:p>
              </w:tc>
            </w:tr>
            <w:tr w14:paraId="4E9627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0" w:type="auto"/>
                  <w:tcBorders>
                    <w:top w:val="single" w:color="auto" w:sz="4" w:space="0"/>
                    <w:left w:val="nil"/>
                    <w:bottom w:val="single" w:color="auto" w:sz="4" w:space="0"/>
                    <w:right w:val="single" w:color="auto" w:sz="4" w:space="0"/>
                  </w:tcBorders>
                  <w:vAlign w:val="center"/>
                </w:tcPr>
                <w:p w14:paraId="30ECA234">
                  <w:pPr>
                    <w:pStyle w:val="58"/>
                    <w:rPr>
                      <w:color w:val="auto"/>
                      <w:highlight w:val="none"/>
                    </w:rPr>
                  </w:pPr>
                  <w:r>
                    <w:rPr>
                      <w:color w:val="auto"/>
                      <w:highlight w:val="none"/>
                    </w:rPr>
                    <w:t>3</w:t>
                  </w:r>
                </w:p>
              </w:tc>
              <w:tc>
                <w:tcPr>
                  <w:tcW w:w="0" w:type="auto"/>
                  <w:tcBorders>
                    <w:top w:val="single" w:color="auto" w:sz="4" w:space="0"/>
                    <w:left w:val="single" w:color="auto" w:sz="4" w:space="0"/>
                    <w:bottom w:val="single" w:color="auto" w:sz="4" w:space="0"/>
                    <w:right w:val="single" w:color="auto" w:sz="4" w:space="0"/>
                  </w:tcBorders>
                  <w:vAlign w:val="center"/>
                </w:tcPr>
                <w:p w14:paraId="0117725F">
                  <w:pPr>
                    <w:pStyle w:val="58"/>
                    <w:rPr>
                      <w:color w:val="auto"/>
                      <w:highlight w:val="none"/>
                    </w:rPr>
                  </w:pPr>
                  <w:r>
                    <w:rPr>
                      <w:color w:val="auto"/>
                      <w:highlight w:val="none"/>
                    </w:rPr>
                    <w:t>规范贮存管理要求。根据《危险废物贮存污染控制标准》（GB 18597-2023），企业可根据实际情况选择采用危险废物贮存设施或贮存点两类方式进行贮存，符合相应的污染控制标准。不具备建设贮存设施条件、选用贮存点方式的，除符合国家关于贮存点控制要求外，还要执行《江苏省危险废物集中收集体系建设工作方案(试行)》(苏环办(〔2021】290号)中关于贮存周期和贮存量的要求，I级、II级、III级危险废物贮存时间分别不得超过30天、60天、90天，最大贮存量不得超过1吨。</w:t>
                  </w:r>
                </w:p>
              </w:tc>
              <w:tc>
                <w:tcPr>
                  <w:tcW w:w="0" w:type="auto"/>
                  <w:tcBorders>
                    <w:top w:val="single" w:color="auto" w:sz="4" w:space="0"/>
                    <w:left w:val="single" w:color="auto" w:sz="4" w:space="0"/>
                    <w:bottom w:val="single" w:color="auto" w:sz="4" w:space="0"/>
                    <w:right w:val="single" w:color="auto" w:sz="4" w:space="0"/>
                  </w:tcBorders>
                  <w:vAlign w:val="center"/>
                </w:tcPr>
                <w:p w14:paraId="7B8B52F1">
                  <w:pPr>
                    <w:pStyle w:val="58"/>
                    <w:rPr>
                      <w:color w:val="auto"/>
                      <w:highlight w:val="none"/>
                    </w:rPr>
                  </w:pPr>
                  <w:r>
                    <w:rPr>
                      <w:color w:val="auto"/>
                      <w:highlight w:val="none"/>
                    </w:rPr>
                    <w:t>本</w:t>
                  </w:r>
                  <w:r>
                    <w:rPr>
                      <w:rFonts w:hint="eastAsia"/>
                      <w:color w:val="auto"/>
                      <w:highlight w:val="none"/>
                    </w:rPr>
                    <w:t>项目未产生危废</w:t>
                  </w:r>
                  <w:r>
                    <w:rPr>
                      <w:color w:val="auto"/>
                      <w:highlight w:val="none"/>
                    </w:rPr>
                    <w:t>。</w:t>
                  </w:r>
                </w:p>
              </w:tc>
              <w:tc>
                <w:tcPr>
                  <w:tcW w:w="0" w:type="auto"/>
                  <w:tcBorders>
                    <w:top w:val="single" w:color="auto" w:sz="4" w:space="0"/>
                    <w:left w:val="single" w:color="auto" w:sz="4" w:space="0"/>
                    <w:bottom w:val="single" w:color="auto" w:sz="4" w:space="0"/>
                    <w:right w:val="nil"/>
                  </w:tcBorders>
                  <w:vAlign w:val="center"/>
                </w:tcPr>
                <w:p w14:paraId="2AF9DCBE">
                  <w:pPr>
                    <w:pStyle w:val="58"/>
                    <w:rPr>
                      <w:color w:val="auto"/>
                      <w:highlight w:val="none"/>
                    </w:rPr>
                  </w:pPr>
                  <w:r>
                    <w:rPr>
                      <w:color w:val="auto"/>
                      <w:highlight w:val="none"/>
                    </w:rPr>
                    <w:t>符合</w:t>
                  </w:r>
                </w:p>
              </w:tc>
            </w:tr>
            <w:tr w14:paraId="6CAFAC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74" w:hRule="atLeast"/>
              </w:trPr>
              <w:tc>
                <w:tcPr>
                  <w:tcW w:w="0" w:type="auto"/>
                  <w:tcBorders>
                    <w:top w:val="single" w:color="auto" w:sz="4" w:space="0"/>
                    <w:left w:val="nil"/>
                    <w:bottom w:val="single" w:color="auto" w:sz="4" w:space="0"/>
                    <w:right w:val="single" w:color="auto" w:sz="4" w:space="0"/>
                  </w:tcBorders>
                  <w:vAlign w:val="center"/>
                </w:tcPr>
                <w:p w14:paraId="716FDE90">
                  <w:pPr>
                    <w:pStyle w:val="58"/>
                    <w:rPr>
                      <w:color w:val="auto"/>
                      <w:highlight w:val="none"/>
                    </w:rPr>
                  </w:pPr>
                  <w:r>
                    <w:rPr>
                      <w:color w:val="auto"/>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14:paraId="6BBA2FB9">
                  <w:pPr>
                    <w:pStyle w:val="58"/>
                    <w:rPr>
                      <w:color w:val="auto"/>
                      <w:highlight w:val="none"/>
                    </w:rPr>
                  </w:pPr>
                  <w:r>
                    <w:rPr>
                      <w:color w:val="auto"/>
                      <w:highlight w:val="none"/>
                    </w:rPr>
                    <w:t>强化转移过程管理。全面落实危险废物转移电子联单制度，实行省内全域扫描“二维码”转移。加强与危险货物道路运输电子运单数据共享，实现运输轨迹可溯可查。危险废物产生单位须依法核实经营主体资格和技术能力，直接签订委托合同并向经营单位单位提供相关危险废物产生工艺、具体成分，以及是否易燃易爆等信息，违法委托的，应当与造成环境污染和生态破坏的受托方承担连带责任;经营单位须按合同及包装物扫码签收危险废物，签收人、车辆信息等须拍照上传至系统，严禁“空转”二维码。积极推行一般工业固体废物转移电子联单制度，优先选择环境风险较大的污泥、矿渣等固体废物试行。</w:t>
                  </w:r>
                </w:p>
              </w:tc>
              <w:tc>
                <w:tcPr>
                  <w:tcW w:w="0" w:type="auto"/>
                  <w:tcBorders>
                    <w:top w:val="single" w:color="auto" w:sz="4" w:space="0"/>
                    <w:left w:val="single" w:color="auto" w:sz="4" w:space="0"/>
                    <w:bottom w:val="single" w:color="auto" w:sz="4" w:space="0"/>
                    <w:right w:val="single" w:color="auto" w:sz="4" w:space="0"/>
                  </w:tcBorders>
                  <w:vAlign w:val="center"/>
                </w:tcPr>
                <w:p w14:paraId="60C5BE52">
                  <w:pPr>
                    <w:pStyle w:val="58"/>
                    <w:rPr>
                      <w:color w:val="auto"/>
                      <w:highlight w:val="none"/>
                    </w:rPr>
                  </w:pPr>
                  <w:r>
                    <w:rPr>
                      <w:color w:val="auto"/>
                      <w:highlight w:val="none"/>
                    </w:rPr>
                    <w:t>本项目未产生危废。</w:t>
                  </w:r>
                </w:p>
              </w:tc>
              <w:tc>
                <w:tcPr>
                  <w:tcW w:w="0" w:type="auto"/>
                  <w:tcBorders>
                    <w:top w:val="single" w:color="auto" w:sz="4" w:space="0"/>
                    <w:left w:val="single" w:color="auto" w:sz="4" w:space="0"/>
                    <w:bottom w:val="single" w:color="auto" w:sz="4" w:space="0"/>
                    <w:right w:val="nil"/>
                  </w:tcBorders>
                  <w:vAlign w:val="center"/>
                </w:tcPr>
                <w:p w14:paraId="1D234235">
                  <w:pPr>
                    <w:pStyle w:val="58"/>
                    <w:rPr>
                      <w:color w:val="auto"/>
                      <w:highlight w:val="none"/>
                    </w:rPr>
                  </w:pPr>
                  <w:r>
                    <w:rPr>
                      <w:color w:val="auto"/>
                      <w:highlight w:val="none"/>
                    </w:rPr>
                    <w:t>符合</w:t>
                  </w:r>
                </w:p>
              </w:tc>
            </w:tr>
            <w:tr w14:paraId="389C6B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01" w:hRule="atLeast"/>
              </w:trPr>
              <w:tc>
                <w:tcPr>
                  <w:tcW w:w="0" w:type="auto"/>
                  <w:tcBorders>
                    <w:top w:val="single" w:color="auto" w:sz="4" w:space="0"/>
                    <w:left w:val="nil"/>
                    <w:bottom w:val="single" w:color="auto" w:sz="4" w:space="0"/>
                    <w:right w:val="single" w:color="auto" w:sz="4" w:space="0"/>
                  </w:tcBorders>
                  <w:vAlign w:val="center"/>
                </w:tcPr>
                <w:p w14:paraId="2A82C56C">
                  <w:pPr>
                    <w:pStyle w:val="58"/>
                    <w:rPr>
                      <w:color w:val="auto"/>
                      <w:highlight w:val="none"/>
                    </w:rPr>
                  </w:pPr>
                  <w:r>
                    <w:rPr>
                      <w:color w:val="auto"/>
                      <w:highlight w:val="none"/>
                    </w:rPr>
                    <w:t>5</w:t>
                  </w:r>
                </w:p>
              </w:tc>
              <w:tc>
                <w:tcPr>
                  <w:tcW w:w="0" w:type="auto"/>
                  <w:tcBorders>
                    <w:top w:val="single" w:color="auto" w:sz="4" w:space="0"/>
                    <w:left w:val="single" w:color="auto" w:sz="4" w:space="0"/>
                    <w:bottom w:val="single" w:color="auto" w:sz="4" w:space="0"/>
                    <w:right w:val="single" w:color="auto" w:sz="4" w:space="0"/>
                  </w:tcBorders>
                  <w:vAlign w:val="center"/>
                </w:tcPr>
                <w:p w14:paraId="75DC9653">
                  <w:pPr>
                    <w:pStyle w:val="58"/>
                    <w:rPr>
                      <w:color w:val="auto"/>
                      <w:highlight w:val="none"/>
                    </w:rPr>
                  </w:pPr>
                  <w:r>
                    <w:rPr>
                      <w:color w:val="auto"/>
                      <w:highlight w:val="none"/>
                    </w:rPr>
                    <w:t>落实信息公开制度。危险废物环境重点监管单位要在出入口、设施内部、危险废物运输车辆通道等关键位置设置视频监控并与中控室联网，通过设立公开栏、标志牌等方式，主动公开危险废物产生和利用处置等有关信息。集中焚烧处置单位及有自建危废焚烧处置设施的单位要依法及时公开二燃室温度等工况运行指标以及污染物排放指标、浓度等有关信息，并联网至属地生态环境部门。危险废物经营单位应同步公开许可证、许可条件等全文信息。</w:t>
                  </w:r>
                </w:p>
              </w:tc>
              <w:tc>
                <w:tcPr>
                  <w:tcW w:w="0" w:type="auto"/>
                  <w:tcBorders>
                    <w:top w:val="single" w:color="auto" w:sz="4" w:space="0"/>
                    <w:left w:val="single" w:color="auto" w:sz="4" w:space="0"/>
                    <w:bottom w:val="single" w:color="auto" w:sz="4" w:space="0"/>
                    <w:right w:val="single" w:color="auto" w:sz="4" w:space="0"/>
                  </w:tcBorders>
                  <w:vAlign w:val="center"/>
                </w:tcPr>
                <w:p w14:paraId="2A7FE30B">
                  <w:pPr>
                    <w:pStyle w:val="58"/>
                    <w:rPr>
                      <w:color w:val="auto"/>
                      <w:highlight w:val="none"/>
                    </w:rPr>
                  </w:pPr>
                  <w:r>
                    <w:rPr>
                      <w:color w:val="auto"/>
                      <w:highlight w:val="none"/>
                    </w:rPr>
                    <w:t>企业不属于重点监管单位，项目建成后，企业按要求设立标志牌等方式，主动公开危险废物产生和利用处置等有关信息。</w:t>
                  </w:r>
                </w:p>
              </w:tc>
              <w:tc>
                <w:tcPr>
                  <w:tcW w:w="0" w:type="auto"/>
                  <w:tcBorders>
                    <w:top w:val="single" w:color="auto" w:sz="4" w:space="0"/>
                    <w:left w:val="single" w:color="auto" w:sz="4" w:space="0"/>
                    <w:bottom w:val="single" w:color="auto" w:sz="4" w:space="0"/>
                    <w:right w:val="nil"/>
                  </w:tcBorders>
                  <w:vAlign w:val="center"/>
                </w:tcPr>
                <w:p w14:paraId="0735DE43">
                  <w:pPr>
                    <w:pStyle w:val="58"/>
                    <w:rPr>
                      <w:color w:val="auto"/>
                      <w:highlight w:val="none"/>
                    </w:rPr>
                  </w:pPr>
                  <w:r>
                    <w:rPr>
                      <w:color w:val="auto"/>
                      <w:highlight w:val="none"/>
                    </w:rPr>
                    <w:t>符合</w:t>
                  </w:r>
                </w:p>
              </w:tc>
            </w:tr>
            <w:tr w14:paraId="4B3DD0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70" w:hRule="atLeast"/>
              </w:trPr>
              <w:tc>
                <w:tcPr>
                  <w:tcW w:w="0" w:type="auto"/>
                  <w:tcBorders>
                    <w:top w:val="single" w:color="auto" w:sz="4" w:space="0"/>
                    <w:left w:val="nil"/>
                    <w:bottom w:val="single" w:color="auto" w:sz="12" w:space="0"/>
                    <w:right w:val="single" w:color="auto" w:sz="4" w:space="0"/>
                  </w:tcBorders>
                  <w:noWrap/>
                  <w:vAlign w:val="center"/>
                </w:tcPr>
                <w:p w14:paraId="63E1ACC2">
                  <w:pPr>
                    <w:pStyle w:val="58"/>
                    <w:rPr>
                      <w:color w:val="auto"/>
                      <w:highlight w:val="none"/>
                    </w:rPr>
                  </w:pPr>
                  <w:r>
                    <w:rPr>
                      <w:color w:val="auto"/>
                      <w:highlight w:val="none"/>
                    </w:rPr>
                    <w:t>6</w:t>
                  </w:r>
                </w:p>
              </w:tc>
              <w:tc>
                <w:tcPr>
                  <w:tcW w:w="0" w:type="auto"/>
                  <w:tcBorders>
                    <w:top w:val="single" w:color="auto" w:sz="4" w:space="0"/>
                    <w:left w:val="single" w:color="auto" w:sz="4" w:space="0"/>
                    <w:bottom w:val="single" w:color="auto" w:sz="12" w:space="0"/>
                    <w:right w:val="single" w:color="auto" w:sz="4" w:space="0"/>
                  </w:tcBorders>
                  <w:vAlign w:val="center"/>
                </w:tcPr>
                <w:p w14:paraId="63AD7B45">
                  <w:pPr>
                    <w:pStyle w:val="58"/>
                    <w:rPr>
                      <w:color w:val="auto"/>
                      <w:highlight w:val="none"/>
                    </w:rPr>
                  </w:pPr>
                  <w:r>
                    <w:rPr>
                      <w:color w:val="auto"/>
                      <w:highlight w:val="none"/>
                    </w:rPr>
                    <w:t>规范一般工业固废管理。企业需按照《一般工业固体废物管理台账制定指南（试行）》（生态环境部2021年第82号公告）要求，建立一般工业固废台账。污泥、矿渣等同时还需在固废管理信息系统申报，电子台账已有内容，不再另外制作纸质台账。各地要对辖区内一般工业固废利用处置需求和能力进行摸排,建立收运处体系。一般工业固废用于矿山采坑回填和生态恢复的，参照《一般工业固体废物用于矿山采坑回填和生态恢复技术规范》(DB15/T2763-2022)执行。</w:t>
                  </w:r>
                </w:p>
              </w:tc>
              <w:tc>
                <w:tcPr>
                  <w:tcW w:w="0" w:type="auto"/>
                  <w:tcBorders>
                    <w:top w:val="single" w:color="auto" w:sz="4" w:space="0"/>
                    <w:left w:val="single" w:color="auto" w:sz="4" w:space="0"/>
                    <w:bottom w:val="single" w:color="auto" w:sz="12" w:space="0"/>
                    <w:right w:val="single" w:color="auto" w:sz="4" w:space="0"/>
                  </w:tcBorders>
                  <w:vAlign w:val="center"/>
                </w:tcPr>
                <w:p w14:paraId="115EFC62">
                  <w:pPr>
                    <w:pStyle w:val="58"/>
                    <w:rPr>
                      <w:color w:val="auto"/>
                      <w:highlight w:val="none"/>
                    </w:rPr>
                  </w:pPr>
                  <w:r>
                    <w:rPr>
                      <w:color w:val="auto"/>
                      <w:highlight w:val="none"/>
                    </w:rPr>
                    <w:t>项目建成后，企业按要求建立一般工业固废台账。</w:t>
                  </w:r>
                </w:p>
              </w:tc>
              <w:tc>
                <w:tcPr>
                  <w:tcW w:w="0" w:type="auto"/>
                  <w:tcBorders>
                    <w:top w:val="single" w:color="auto" w:sz="4" w:space="0"/>
                    <w:left w:val="single" w:color="auto" w:sz="4" w:space="0"/>
                    <w:bottom w:val="single" w:color="auto" w:sz="12" w:space="0"/>
                    <w:right w:val="nil"/>
                  </w:tcBorders>
                  <w:vAlign w:val="center"/>
                </w:tcPr>
                <w:p w14:paraId="0404E7D0">
                  <w:pPr>
                    <w:pStyle w:val="58"/>
                    <w:rPr>
                      <w:color w:val="auto"/>
                      <w:highlight w:val="none"/>
                    </w:rPr>
                  </w:pPr>
                  <w:r>
                    <w:rPr>
                      <w:color w:val="auto"/>
                      <w:highlight w:val="none"/>
                    </w:rPr>
                    <w:t>符合</w:t>
                  </w:r>
                </w:p>
              </w:tc>
            </w:tr>
          </w:tbl>
          <w:p w14:paraId="1D73E82F">
            <w:pPr>
              <w:pStyle w:val="56"/>
              <w:ind w:firstLine="496"/>
              <w:rPr>
                <w:color w:val="auto"/>
                <w:highlight w:val="none"/>
              </w:rPr>
            </w:pPr>
            <w:r>
              <w:rPr>
                <w:color w:val="auto"/>
                <w:highlight w:val="none"/>
              </w:rPr>
              <w:t>综上，建设项目产生的固体废物均得到了妥善处置和利用，对外环境的影响可减至最小程度。</w:t>
            </w:r>
          </w:p>
          <w:p w14:paraId="029F2354">
            <w:pPr>
              <w:pStyle w:val="56"/>
              <w:ind w:firstLine="498"/>
              <w:rPr>
                <w:b/>
                <w:bCs/>
                <w:color w:val="auto"/>
                <w:highlight w:val="none"/>
              </w:rPr>
            </w:pPr>
            <w:r>
              <w:rPr>
                <w:b/>
                <w:bCs/>
                <w:color w:val="auto"/>
                <w:highlight w:val="none"/>
              </w:rPr>
              <w:t>5</w:t>
            </w:r>
            <w:r>
              <w:rPr>
                <w:rFonts w:hint="eastAsia"/>
                <w:b/>
                <w:bCs/>
                <w:color w:val="auto"/>
                <w:highlight w:val="none"/>
              </w:rPr>
              <w:t>、地下水、土壤</w:t>
            </w:r>
          </w:p>
          <w:p w14:paraId="2E1AEF3C">
            <w:pPr>
              <w:pStyle w:val="56"/>
              <w:adjustRightInd w:val="0"/>
              <w:ind w:firstLine="498"/>
              <w:rPr>
                <w:rFonts w:cs="Times New Roman"/>
                <w:b/>
                <w:bCs/>
                <w:color w:val="auto"/>
                <w:highlight w:val="none"/>
              </w:rPr>
            </w:pPr>
            <w:r>
              <w:rPr>
                <w:b/>
                <w:bCs/>
                <w:color w:val="auto"/>
                <w:highlight w:val="none"/>
              </w:rPr>
              <w:t>5.1</w:t>
            </w:r>
            <w:r>
              <w:rPr>
                <w:rFonts w:hint="eastAsia"/>
                <w:b/>
                <w:bCs/>
                <w:color w:val="auto"/>
                <w:highlight w:val="none"/>
              </w:rPr>
              <w:t>污染源</w:t>
            </w:r>
          </w:p>
          <w:p w14:paraId="5A58A099">
            <w:pPr>
              <w:pStyle w:val="56"/>
              <w:adjustRightInd w:val="0"/>
              <w:ind w:firstLine="496"/>
              <w:rPr>
                <w:color w:val="auto"/>
                <w:highlight w:val="none"/>
              </w:rPr>
            </w:pPr>
            <w:r>
              <w:rPr>
                <w:rFonts w:hint="eastAsia"/>
                <w:color w:val="auto"/>
                <w:highlight w:val="none"/>
              </w:rPr>
              <w:t>为更好的保护地下水及土壤环境，企业需按照“源头控制、末端防治、污染监控、应急响应”的防治要求，结合本项目工程类型及污染源分布，提出以下防治原则：</w:t>
            </w:r>
          </w:p>
          <w:p w14:paraId="1515E939">
            <w:pPr>
              <w:pStyle w:val="56"/>
              <w:adjustRightInd w:val="0"/>
              <w:ind w:firstLine="496"/>
              <w:rPr>
                <w:color w:val="auto"/>
                <w:highlight w:val="none"/>
              </w:rPr>
            </w:pPr>
            <w:r>
              <w:rPr>
                <w:rFonts w:hint="eastAsia"/>
                <w:color w:val="auto"/>
                <w:highlight w:val="none"/>
              </w:rPr>
              <w:t>①源头控制：主要包括在工艺、管道、设备、储罐、污水贮存及处理构筑物采取相应措施，杜绝“跑、冒、滴、漏”，将危险物质泄漏污染土壤和地下水环境的隐患降至最低。</w:t>
            </w:r>
          </w:p>
          <w:p w14:paraId="04A0E8CE">
            <w:pPr>
              <w:pStyle w:val="56"/>
              <w:adjustRightInd w:val="0"/>
              <w:ind w:firstLine="496"/>
              <w:rPr>
                <w:color w:val="auto"/>
                <w:highlight w:val="none"/>
              </w:rPr>
            </w:pPr>
            <w:r>
              <w:rPr>
                <w:rFonts w:hint="eastAsia"/>
                <w:color w:val="auto"/>
                <w:highlight w:val="none"/>
              </w:rPr>
              <w:t>②末端控制：分区防控。主要包括厂内污染区地面的防渗措施和泄漏、渗漏污染物收集措施，即在污染区地面进行防渗处理，防止洒落地面的污染物渗入地下，并把滞留在地面的污染物收集起来集中处理，从而避免对地下水的污染。结合项目各生产设备、贮存等因素，根据项目场地污染控制难易程度和污染物特性对全厂进行分区防控。</w:t>
            </w:r>
          </w:p>
          <w:p w14:paraId="2C0FEA0C">
            <w:pPr>
              <w:pStyle w:val="56"/>
              <w:adjustRightInd w:val="0"/>
              <w:ind w:firstLine="496"/>
              <w:rPr>
                <w:color w:val="auto"/>
                <w:highlight w:val="none"/>
              </w:rPr>
            </w:pPr>
            <w:r>
              <w:rPr>
                <w:rFonts w:hint="eastAsia"/>
                <w:color w:val="auto"/>
                <w:highlight w:val="none"/>
              </w:rPr>
              <w:t>防止土壤及地下水的末端控制即为地面防渗措施，一是全厂污染区参照抗渗标准要求采取防渗措施，以阻止泄露到地面的污染物进入地下水及土壤环境，二是全厂污染区防渗区域内设置渗漏污染物收集系统，将滞留在地面的污染物收集起来，集中处理。</w:t>
            </w:r>
          </w:p>
          <w:p w14:paraId="7992A593">
            <w:pPr>
              <w:pStyle w:val="56"/>
              <w:adjustRightInd w:val="0"/>
              <w:ind w:firstLine="496"/>
              <w:rPr>
                <w:color w:val="auto"/>
                <w:highlight w:val="none"/>
              </w:rPr>
            </w:pPr>
            <w:r>
              <w:rPr>
                <w:rFonts w:hint="eastAsia"/>
                <w:color w:val="auto"/>
                <w:highlight w:val="none"/>
              </w:rPr>
              <w:t>根据车间内污染控制难易程度和污染物特性，  将车间内防渗分区划分为重点防渗区、一般防渗区、简单防渗区。</w:t>
            </w:r>
          </w:p>
          <w:p w14:paraId="09E6E2BB">
            <w:pPr>
              <w:pStyle w:val="56"/>
              <w:adjustRightInd w:val="0"/>
              <w:ind w:firstLine="496"/>
              <w:rPr>
                <w:color w:val="auto"/>
                <w:highlight w:val="none"/>
              </w:rPr>
            </w:pPr>
            <w:r>
              <w:rPr>
                <w:rFonts w:hint="eastAsia"/>
                <w:color w:val="auto"/>
                <w:highlight w:val="none"/>
              </w:rPr>
              <w:t>环境影响类型与影响途径见表</w:t>
            </w:r>
            <w:r>
              <w:rPr>
                <w:color w:val="auto"/>
                <w:highlight w:val="none"/>
              </w:rPr>
              <w:t>4-</w:t>
            </w:r>
            <w:r>
              <w:rPr>
                <w:rFonts w:hint="eastAsia"/>
                <w:color w:val="auto"/>
                <w:highlight w:val="none"/>
              </w:rPr>
              <w:t>18。</w:t>
            </w:r>
          </w:p>
          <w:p w14:paraId="7994C9D1">
            <w:pPr>
              <w:pStyle w:val="79"/>
              <w:spacing w:line="240" w:lineRule="auto"/>
              <w:ind w:left="480"/>
              <w:rPr>
                <w:color w:val="auto"/>
                <w:highlight w:val="none"/>
              </w:rPr>
            </w:pPr>
            <w:r>
              <w:rPr>
                <w:rFonts w:hint="eastAsia"/>
                <w:color w:val="auto"/>
                <w:highlight w:val="none"/>
              </w:rPr>
              <w:t>表</w:t>
            </w:r>
            <w:r>
              <w:rPr>
                <w:color w:val="auto"/>
                <w:highlight w:val="none"/>
              </w:rPr>
              <w:t>4-</w:t>
            </w:r>
            <w:r>
              <w:rPr>
                <w:rFonts w:hint="eastAsia"/>
                <w:color w:val="auto"/>
                <w:highlight w:val="none"/>
              </w:rPr>
              <w:t>18 建设项目地下水、土壤环境影响类型与影响途径表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2086"/>
              <w:gridCol w:w="1434"/>
              <w:gridCol w:w="2568"/>
            </w:tblGrid>
            <w:tr w14:paraId="6539F5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pct"/>
                  <w:tcBorders>
                    <w:top w:val="single" w:color="auto" w:sz="12" w:space="0"/>
                    <w:left w:val="nil"/>
                    <w:bottom w:val="single" w:color="auto" w:sz="12" w:space="0"/>
                    <w:right w:val="single" w:color="auto" w:sz="4" w:space="0"/>
                  </w:tcBorders>
                  <w:vAlign w:val="center"/>
                </w:tcPr>
                <w:p w14:paraId="5C0F455E">
                  <w:pPr>
                    <w:pStyle w:val="58"/>
                    <w:rPr>
                      <w:b/>
                      <w:bCs/>
                      <w:color w:val="auto"/>
                      <w:highlight w:val="none"/>
                    </w:rPr>
                  </w:pPr>
                  <w:r>
                    <w:rPr>
                      <w:rFonts w:hint="eastAsia"/>
                      <w:b/>
                      <w:bCs/>
                      <w:color w:val="auto"/>
                      <w:highlight w:val="none"/>
                    </w:rPr>
                    <w:t>污染源</w:t>
                  </w:r>
                </w:p>
              </w:tc>
              <w:tc>
                <w:tcPr>
                  <w:tcW w:w="1387" w:type="pct"/>
                  <w:tcBorders>
                    <w:top w:val="single" w:color="auto" w:sz="12" w:space="0"/>
                    <w:left w:val="single" w:color="auto" w:sz="4" w:space="0"/>
                    <w:bottom w:val="single" w:color="auto" w:sz="12" w:space="0"/>
                    <w:right w:val="single" w:color="auto" w:sz="4" w:space="0"/>
                  </w:tcBorders>
                  <w:vAlign w:val="center"/>
                </w:tcPr>
                <w:p w14:paraId="50E51D76">
                  <w:pPr>
                    <w:pStyle w:val="58"/>
                    <w:rPr>
                      <w:b/>
                      <w:bCs/>
                      <w:color w:val="auto"/>
                      <w:highlight w:val="none"/>
                    </w:rPr>
                  </w:pPr>
                  <w:r>
                    <w:rPr>
                      <w:rFonts w:hint="eastAsia"/>
                      <w:b/>
                      <w:bCs/>
                      <w:color w:val="auto"/>
                      <w:highlight w:val="none"/>
                    </w:rPr>
                    <w:t>工艺流程</w:t>
                  </w:r>
                  <w:r>
                    <w:rPr>
                      <w:b/>
                      <w:bCs/>
                      <w:color w:val="auto"/>
                      <w:highlight w:val="none"/>
                    </w:rPr>
                    <w:t>/</w:t>
                  </w:r>
                  <w:r>
                    <w:rPr>
                      <w:rFonts w:hint="eastAsia"/>
                      <w:b/>
                      <w:bCs/>
                      <w:color w:val="auto"/>
                      <w:highlight w:val="none"/>
                    </w:rPr>
                    <w:t>节点</w:t>
                  </w:r>
                </w:p>
              </w:tc>
              <w:tc>
                <w:tcPr>
                  <w:tcW w:w="953" w:type="pct"/>
                  <w:tcBorders>
                    <w:top w:val="single" w:color="auto" w:sz="12" w:space="0"/>
                    <w:left w:val="single" w:color="auto" w:sz="4" w:space="0"/>
                    <w:bottom w:val="single" w:color="auto" w:sz="12" w:space="0"/>
                    <w:right w:val="single" w:color="auto" w:sz="4" w:space="0"/>
                  </w:tcBorders>
                  <w:vAlign w:val="center"/>
                </w:tcPr>
                <w:p w14:paraId="00A80A71">
                  <w:pPr>
                    <w:pStyle w:val="58"/>
                    <w:rPr>
                      <w:b/>
                      <w:bCs/>
                      <w:color w:val="auto"/>
                      <w:highlight w:val="none"/>
                    </w:rPr>
                  </w:pPr>
                  <w:r>
                    <w:rPr>
                      <w:rFonts w:hint="eastAsia"/>
                      <w:b/>
                      <w:bCs/>
                      <w:color w:val="auto"/>
                      <w:highlight w:val="none"/>
                    </w:rPr>
                    <w:t>污染途径</w:t>
                  </w:r>
                </w:p>
              </w:tc>
              <w:tc>
                <w:tcPr>
                  <w:tcW w:w="1707" w:type="pct"/>
                  <w:tcBorders>
                    <w:top w:val="single" w:color="auto" w:sz="12" w:space="0"/>
                    <w:left w:val="single" w:color="auto" w:sz="4" w:space="0"/>
                    <w:bottom w:val="single" w:color="auto" w:sz="12" w:space="0"/>
                    <w:right w:val="nil"/>
                  </w:tcBorders>
                  <w:vAlign w:val="center"/>
                </w:tcPr>
                <w:p w14:paraId="49A54AF8">
                  <w:pPr>
                    <w:pStyle w:val="58"/>
                    <w:rPr>
                      <w:b/>
                      <w:bCs/>
                      <w:color w:val="auto"/>
                      <w:highlight w:val="none"/>
                    </w:rPr>
                  </w:pPr>
                  <w:r>
                    <w:rPr>
                      <w:rFonts w:hint="eastAsia"/>
                      <w:b/>
                      <w:bCs/>
                      <w:color w:val="auto"/>
                      <w:highlight w:val="none"/>
                    </w:rPr>
                    <w:t>污染因子</w:t>
                  </w:r>
                </w:p>
              </w:tc>
            </w:tr>
            <w:tr w14:paraId="102718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pct"/>
                  <w:tcBorders>
                    <w:top w:val="single" w:color="auto" w:sz="4" w:space="0"/>
                    <w:left w:val="nil"/>
                    <w:bottom w:val="single" w:color="auto" w:sz="4" w:space="0"/>
                    <w:right w:val="single" w:color="auto" w:sz="4" w:space="0"/>
                  </w:tcBorders>
                  <w:vAlign w:val="center"/>
                </w:tcPr>
                <w:p w14:paraId="7B8FA3ED">
                  <w:pPr>
                    <w:pStyle w:val="62"/>
                    <w:rPr>
                      <w:color w:val="auto"/>
                      <w:highlight w:val="none"/>
                    </w:rPr>
                  </w:pPr>
                  <w:r>
                    <w:rPr>
                      <w:rFonts w:hint="eastAsia"/>
                      <w:color w:val="auto"/>
                      <w:highlight w:val="none"/>
                    </w:rPr>
                    <w:t>生产车间</w:t>
                  </w:r>
                </w:p>
              </w:tc>
              <w:tc>
                <w:tcPr>
                  <w:tcW w:w="1387" w:type="pct"/>
                  <w:tcBorders>
                    <w:top w:val="single" w:color="auto" w:sz="4" w:space="0"/>
                    <w:left w:val="single" w:color="auto" w:sz="4" w:space="0"/>
                    <w:bottom w:val="single" w:color="auto" w:sz="4" w:space="0"/>
                    <w:right w:val="single" w:color="auto" w:sz="4" w:space="0"/>
                  </w:tcBorders>
                  <w:vAlign w:val="center"/>
                </w:tcPr>
                <w:p w14:paraId="5090C7E3">
                  <w:pPr>
                    <w:pStyle w:val="62"/>
                    <w:rPr>
                      <w:color w:val="auto"/>
                      <w:highlight w:val="none"/>
                    </w:rPr>
                  </w:pPr>
                  <w:r>
                    <w:rPr>
                      <w:rFonts w:hint="eastAsia"/>
                      <w:color w:val="auto"/>
                      <w:highlight w:val="none"/>
                    </w:rPr>
                    <w:t>水洗、离心</w:t>
                  </w:r>
                </w:p>
              </w:tc>
              <w:tc>
                <w:tcPr>
                  <w:tcW w:w="953" w:type="pct"/>
                  <w:tcBorders>
                    <w:top w:val="single" w:color="auto" w:sz="4" w:space="0"/>
                    <w:left w:val="single" w:color="auto" w:sz="4" w:space="0"/>
                    <w:bottom w:val="single" w:color="auto" w:sz="4" w:space="0"/>
                    <w:right w:val="single" w:color="auto" w:sz="4" w:space="0"/>
                  </w:tcBorders>
                  <w:vAlign w:val="center"/>
                </w:tcPr>
                <w:p w14:paraId="5D5134FE">
                  <w:pPr>
                    <w:pStyle w:val="62"/>
                    <w:rPr>
                      <w:color w:val="auto"/>
                      <w:highlight w:val="none"/>
                    </w:rPr>
                  </w:pPr>
                  <w:r>
                    <w:rPr>
                      <w:rFonts w:hint="eastAsia"/>
                      <w:color w:val="auto"/>
                      <w:highlight w:val="none"/>
                    </w:rPr>
                    <w:t>地面漫流、垂直入渗</w:t>
                  </w:r>
                </w:p>
              </w:tc>
              <w:tc>
                <w:tcPr>
                  <w:tcW w:w="1707" w:type="pct"/>
                  <w:tcBorders>
                    <w:top w:val="single" w:color="auto" w:sz="4" w:space="0"/>
                    <w:left w:val="single" w:color="auto" w:sz="4" w:space="0"/>
                    <w:bottom w:val="single" w:color="auto" w:sz="4" w:space="0"/>
                    <w:right w:val="nil"/>
                  </w:tcBorders>
                  <w:vAlign w:val="center"/>
                </w:tcPr>
                <w:p w14:paraId="0F6AD2D6">
                  <w:pPr>
                    <w:pStyle w:val="62"/>
                    <w:rPr>
                      <w:color w:val="auto"/>
                      <w:highlight w:val="none"/>
                    </w:rPr>
                  </w:pPr>
                  <w:r>
                    <w:rPr>
                      <w:rFonts w:hint="eastAsia"/>
                      <w:color w:val="auto"/>
                      <w:highlight w:val="none"/>
                    </w:rPr>
                    <w:t>清洗废水</w:t>
                  </w:r>
                </w:p>
              </w:tc>
            </w:tr>
            <w:tr w14:paraId="6FE502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pct"/>
                  <w:tcBorders>
                    <w:top w:val="single" w:color="auto" w:sz="4" w:space="0"/>
                    <w:left w:val="nil"/>
                    <w:bottom w:val="single" w:color="auto" w:sz="4" w:space="0"/>
                    <w:right w:val="single" w:color="auto" w:sz="4" w:space="0"/>
                  </w:tcBorders>
                  <w:vAlign w:val="center"/>
                </w:tcPr>
                <w:p w14:paraId="46D2D9C1">
                  <w:pPr>
                    <w:pStyle w:val="62"/>
                    <w:rPr>
                      <w:color w:val="auto"/>
                      <w:highlight w:val="none"/>
                    </w:rPr>
                  </w:pPr>
                  <w:r>
                    <w:rPr>
                      <w:rFonts w:hint="eastAsia"/>
                      <w:color w:val="auto"/>
                      <w:highlight w:val="none"/>
                    </w:rPr>
                    <w:t>一般固废仓库</w:t>
                  </w:r>
                </w:p>
              </w:tc>
              <w:tc>
                <w:tcPr>
                  <w:tcW w:w="1387" w:type="pct"/>
                  <w:tcBorders>
                    <w:top w:val="single" w:color="auto" w:sz="4" w:space="0"/>
                    <w:left w:val="single" w:color="auto" w:sz="4" w:space="0"/>
                    <w:bottom w:val="single" w:color="auto" w:sz="4" w:space="0"/>
                    <w:right w:val="single" w:color="auto" w:sz="4" w:space="0"/>
                  </w:tcBorders>
                  <w:vAlign w:val="center"/>
                </w:tcPr>
                <w:p w14:paraId="21F8A6F1">
                  <w:pPr>
                    <w:pStyle w:val="62"/>
                    <w:rPr>
                      <w:color w:val="auto"/>
                      <w:highlight w:val="none"/>
                    </w:rPr>
                  </w:pPr>
                  <w:r>
                    <w:rPr>
                      <w:rFonts w:hint="eastAsia"/>
                      <w:color w:val="auto"/>
                      <w:highlight w:val="none"/>
                    </w:rPr>
                    <w:t>固废储存</w:t>
                  </w:r>
                </w:p>
              </w:tc>
              <w:tc>
                <w:tcPr>
                  <w:tcW w:w="953" w:type="pct"/>
                  <w:tcBorders>
                    <w:top w:val="single" w:color="auto" w:sz="4" w:space="0"/>
                    <w:left w:val="single" w:color="auto" w:sz="4" w:space="0"/>
                    <w:bottom w:val="single" w:color="auto" w:sz="4" w:space="0"/>
                    <w:right w:val="single" w:color="auto" w:sz="4" w:space="0"/>
                  </w:tcBorders>
                  <w:vAlign w:val="center"/>
                </w:tcPr>
                <w:p w14:paraId="5B293F9E">
                  <w:pPr>
                    <w:pStyle w:val="62"/>
                    <w:rPr>
                      <w:color w:val="auto"/>
                      <w:highlight w:val="none"/>
                    </w:rPr>
                  </w:pPr>
                  <w:r>
                    <w:rPr>
                      <w:rFonts w:hint="eastAsia"/>
                      <w:color w:val="auto"/>
                      <w:highlight w:val="none"/>
                    </w:rPr>
                    <w:t>地面漫流、垂直入渗</w:t>
                  </w:r>
                </w:p>
              </w:tc>
              <w:tc>
                <w:tcPr>
                  <w:tcW w:w="1707" w:type="pct"/>
                  <w:tcBorders>
                    <w:top w:val="single" w:color="auto" w:sz="4" w:space="0"/>
                    <w:left w:val="single" w:color="auto" w:sz="4" w:space="0"/>
                    <w:bottom w:val="single" w:color="auto" w:sz="4" w:space="0"/>
                    <w:right w:val="nil"/>
                  </w:tcBorders>
                  <w:vAlign w:val="center"/>
                </w:tcPr>
                <w:p w14:paraId="587A88F5">
                  <w:pPr>
                    <w:pStyle w:val="62"/>
                    <w:rPr>
                      <w:color w:val="auto"/>
                      <w:highlight w:val="none"/>
                    </w:rPr>
                  </w:pPr>
                  <w:r>
                    <w:rPr>
                      <w:rFonts w:hint="eastAsia"/>
                      <w:color w:val="auto"/>
                      <w:highlight w:val="none"/>
                    </w:rPr>
                    <w:t>污泥</w:t>
                  </w:r>
                </w:p>
              </w:tc>
            </w:tr>
          </w:tbl>
          <w:p w14:paraId="3FA996F1">
            <w:pPr>
              <w:pStyle w:val="56"/>
              <w:adjustRightInd w:val="0"/>
              <w:ind w:firstLine="498"/>
              <w:rPr>
                <w:rFonts w:cs="Times New Roman"/>
                <w:b/>
                <w:bCs/>
                <w:color w:val="auto"/>
                <w:kern w:val="2"/>
                <w:highlight w:val="none"/>
              </w:rPr>
            </w:pPr>
            <w:r>
              <w:rPr>
                <w:b/>
                <w:bCs/>
                <w:color w:val="auto"/>
                <w:highlight w:val="none"/>
              </w:rPr>
              <w:t>5.2</w:t>
            </w:r>
            <w:r>
              <w:rPr>
                <w:rFonts w:hint="eastAsia"/>
                <w:b/>
                <w:bCs/>
                <w:color w:val="auto"/>
                <w:highlight w:val="none"/>
              </w:rPr>
              <w:t>污染防治措施</w:t>
            </w:r>
          </w:p>
          <w:p w14:paraId="68106A00">
            <w:pPr>
              <w:pStyle w:val="56"/>
              <w:adjustRightInd w:val="0"/>
              <w:ind w:firstLine="496"/>
              <w:rPr>
                <w:color w:val="auto"/>
                <w:highlight w:val="none"/>
              </w:rPr>
            </w:pPr>
            <w:r>
              <w:rPr>
                <w:rFonts w:hint="eastAsia"/>
                <w:color w:val="auto"/>
                <w:highlight w:val="none"/>
              </w:rPr>
              <w:t>土壤和地下水污染防治措施主要体现在源头控制措施和分区防控措施。</w:t>
            </w:r>
          </w:p>
          <w:p w14:paraId="58BF62A8">
            <w:pPr>
              <w:pStyle w:val="56"/>
              <w:adjustRightInd w:val="0"/>
              <w:ind w:firstLine="496"/>
              <w:rPr>
                <w:color w:val="auto"/>
                <w:highlight w:val="none"/>
              </w:rPr>
            </w:pPr>
            <w:r>
              <w:rPr>
                <w:rFonts w:hint="eastAsia"/>
                <w:color w:val="auto"/>
                <w:highlight w:val="none"/>
              </w:rPr>
              <w:t>（</w:t>
            </w:r>
            <w:r>
              <w:rPr>
                <w:color w:val="auto"/>
                <w:highlight w:val="none"/>
              </w:rPr>
              <w:t>1</w:t>
            </w:r>
            <w:r>
              <w:rPr>
                <w:rFonts w:hint="eastAsia"/>
                <w:color w:val="auto"/>
                <w:highlight w:val="none"/>
              </w:rPr>
              <w:t>）源头控制措施</w:t>
            </w:r>
          </w:p>
          <w:p w14:paraId="4138AD02">
            <w:pPr>
              <w:pStyle w:val="56"/>
              <w:adjustRightInd w:val="0"/>
              <w:ind w:firstLine="496"/>
              <w:rPr>
                <w:color w:val="auto"/>
                <w:highlight w:val="none"/>
              </w:rPr>
            </w:pPr>
            <w:r>
              <w:rPr>
                <w:rFonts w:hint="eastAsia"/>
                <w:color w:val="auto"/>
                <w:highlight w:val="none"/>
              </w:rPr>
              <w:t>主要包括在工艺、管道、设备、储罐、污水贮存及处理构筑物采取相应措施，杜绝“跑、冒、滴、漏”，将危险物质泄漏污染土壤和地下水环境的隐患降至最低。</w:t>
            </w:r>
          </w:p>
          <w:p w14:paraId="365207BC">
            <w:pPr>
              <w:pStyle w:val="56"/>
              <w:adjustRightInd w:val="0"/>
              <w:ind w:firstLine="496"/>
              <w:rPr>
                <w:color w:val="auto"/>
                <w:highlight w:val="none"/>
              </w:rPr>
            </w:pPr>
            <w:r>
              <w:rPr>
                <w:rFonts w:hint="eastAsia"/>
                <w:color w:val="auto"/>
                <w:highlight w:val="none"/>
              </w:rPr>
              <w:t>（</w:t>
            </w:r>
            <w:r>
              <w:rPr>
                <w:color w:val="auto"/>
                <w:highlight w:val="none"/>
              </w:rPr>
              <w:t>2</w:t>
            </w:r>
            <w:r>
              <w:rPr>
                <w:rFonts w:hint="eastAsia"/>
                <w:color w:val="auto"/>
                <w:highlight w:val="none"/>
              </w:rPr>
              <w:t>）分区防控措施</w:t>
            </w:r>
          </w:p>
          <w:p w14:paraId="03FF8141">
            <w:pPr>
              <w:pStyle w:val="56"/>
              <w:adjustRightInd w:val="0"/>
              <w:ind w:firstLine="496"/>
              <w:rPr>
                <w:color w:val="auto"/>
                <w:highlight w:val="none"/>
              </w:rPr>
            </w:pPr>
            <w:r>
              <w:rPr>
                <w:rFonts w:hint="eastAsia"/>
                <w:color w:val="auto"/>
                <w:highlight w:val="none"/>
              </w:rPr>
              <w:t>企业已将厂区划分为一般防渗和简单防渗区，不同的污染物区，采取不同等级的防渗措施，并确保其可靠性和有效性。一般污染区的防渗设计满足《一般工业固体废物贮存和填埋污染控制标准》（</w:t>
            </w:r>
            <w:r>
              <w:rPr>
                <w:color w:val="auto"/>
                <w:highlight w:val="none"/>
              </w:rPr>
              <w:t>GB18599-2020</w:t>
            </w:r>
            <w:r>
              <w:rPr>
                <w:rFonts w:hint="eastAsia"/>
                <w:color w:val="auto"/>
                <w:highlight w:val="none"/>
              </w:rPr>
              <w:t>）。</w:t>
            </w:r>
          </w:p>
          <w:p w14:paraId="7C0E58CD">
            <w:pPr>
              <w:pStyle w:val="56"/>
              <w:adjustRightInd w:val="0"/>
              <w:ind w:firstLine="496"/>
              <w:rPr>
                <w:color w:val="auto"/>
                <w:highlight w:val="none"/>
              </w:rPr>
            </w:pPr>
            <w:r>
              <w:rPr>
                <w:rFonts w:hint="eastAsia"/>
                <w:color w:val="auto"/>
                <w:highlight w:val="none"/>
              </w:rPr>
              <w:t>本项目依托厂内现有车间进行建设，各区域分区防控措施如下：</w:t>
            </w:r>
          </w:p>
          <w:p w14:paraId="4D71A789">
            <w:pPr>
              <w:pStyle w:val="56"/>
              <w:adjustRightInd w:val="0"/>
              <w:ind w:firstLine="496"/>
              <w:rPr>
                <w:color w:val="auto"/>
                <w:highlight w:val="none"/>
              </w:rPr>
            </w:pPr>
            <w:r>
              <w:rPr>
                <w:rFonts w:hint="eastAsia"/>
                <w:color w:val="auto"/>
                <w:highlight w:val="none"/>
              </w:rPr>
              <w:t>②车间、一般固废仓库为一般防渗区，已设置顶棚，地面四周设置导流渠，可有效防止雨水径流进入贮存场所、防止一般工业固废流失，同时，地面需进行混凝土硬化，已按照《一般工业固体废物贮存和填埋污染控制标准》（</w:t>
            </w:r>
            <w:r>
              <w:rPr>
                <w:color w:val="auto"/>
                <w:highlight w:val="none"/>
              </w:rPr>
              <w:t>GB18599-2020</w:t>
            </w:r>
            <w:r>
              <w:rPr>
                <w:rFonts w:hint="eastAsia"/>
                <w:color w:val="auto"/>
                <w:highlight w:val="none"/>
              </w:rPr>
              <w:t>）要求进行防渗。</w:t>
            </w:r>
          </w:p>
          <w:p w14:paraId="53CA85D8">
            <w:pPr>
              <w:pStyle w:val="56"/>
              <w:ind w:firstLine="498"/>
              <w:rPr>
                <w:b/>
                <w:bCs/>
                <w:color w:val="auto"/>
                <w:highlight w:val="none"/>
              </w:rPr>
            </w:pPr>
            <w:r>
              <w:rPr>
                <w:b/>
                <w:bCs/>
                <w:color w:val="auto"/>
                <w:highlight w:val="none"/>
              </w:rPr>
              <w:t>5.3</w:t>
            </w:r>
            <w:r>
              <w:rPr>
                <w:rFonts w:hint="eastAsia"/>
                <w:b/>
                <w:bCs/>
                <w:color w:val="auto"/>
                <w:highlight w:val="none"/>
              </w:rPr>
              <w:t>地下水、土壤监测计划</w:t>
            </w:r>
          </w:p>
          <w:p w14:paraId="1B7D86FD">
            <w:pPr>
              <w:pStyle w:val="56"/>
              <w:ind w:firstLine="496"/>
              <w:rPr>
                <w:color w:val="auto"/>
                <w:highlight w:val="none"/>
              </w:rPr>
            </w:pPr>
            <w:r>
              <w:rPr>
                <w:rFonts w:hint="eastAsia"/>
                <w:color w:val="auto"/>
                <w:highlight w:val="none"/>
              </w:rPr>
              <w:t>本项目地下水和土壤污染的可能性和程度均较小，正常情况可不开展地下水和土跟踪监测，当发生泄漏事故且泄漏液可能进入到外环境时，在泄漏物质流经的区域附近开展地下水和土壤的监测，检查泄漏事故污染影响情况。监测频次最终以相关主管部门意见为准。</w:t>
            </w:r>
          </w:p>
          <w:p w14:paraId="39B05162">
            <w:pPr>
              <w:pStyle w:val="56"/>
              <w:ind w:firstLine="498"/>
              <w:rPr>
                <w:b/>
                <w:bCs/>
                <w:color w:val="auto"/>
                <w:highlight w:val="none"/>
              </w:rPr>
            </w:pPr>
            <w:r>
              <w:rPr>
                <w:b/>
                <w:bCs/>
                <w:color w:val="auto"/>
                <w:highlight w:val="none"/>
              </w:rPr>
              <w:t>6</w:t>
            </w:r>
            <w:r>
              <w:rPr>
                <w:rFonts w:hint="eastAsia"/>
                <w:b/>
                <w:bCs/>
                <w:color w:val="auto"/>
                <w:highlight w:val="none"/>
              </w:rPr>
              <w:t>、生态</w:t>
            </w:r>
          </w:p>
          <w:p w14:paraId="3C2EDC4B">
            <w:pPr>
              <w:pStyle w:val="56"/>
              <w:ind w:firstLine="496"/>
              <w:rPr>
                <w:color w:val="auto"/>
                <w:highlight w:val="none"/>
              </w:rPr>
            </w:pPr>
            <w:r>
              <w:rPr>
                <w:rFonts w:hint="eastAsia"/>
                <w:color w:val="auto"/>
                <w:highlight w:val="none"/>
              </w:rPr>
              <w:t>本项目位于工业园区内，不新增土地和建设厂房，因此对周围生态环境影响较小。</w:t>
            </w:r>
          </w:p>
          <w:p w14:paraId="6CC5EBDB">
            <w:pPr>
              <w:pStyle w:val="56"/>
              <w:ind w:firstLine="498"/>
              <w:rPr>
                <w:b/>
                <w:bCs/>
                <w:color w:val="auto"/>
                <w:highlight w:val="none"/>
              </w:rPr>
            </w:pPr>
            <w:r>
              <w:rPr>
                <w:b/>
                <w:bCs/>
                <w:color w:val="auto"/>
                <w:highlight w:val="none"/>
              </w:rPr>
              <w:t>7</w:t>
            </w:r>
            <w:r>
              <w:rPr>
                <w:rFonts w:hint="eastAsia"/>
                <w:b/>
                <w:bCs/>
                <w:color w:val="auto"/>
                <w:highlight w:val="none"/>
              </w:rPr>
              <w:t>、环境风险</w:t>
            </w:r>
          </w:p>
          <w:p w14:paraId="7FF61CC0">
            <w:pPr>
              <w:pStyle w:val="56"/>
              <w:ind w:firstLine="498"/>
              <w:rPr>
                <w:b/>
                <w:bCs/>
                <w:color w:val="auto"/>
                <w:highlight w:val="none"/>
              </w:rPr>
            </w:pPr>
            <w:r>
              <w:rPr>
                <w:b/>
                <w:bCs/>
                <w:color w:val="auto"/>
                <w:highlight w:val="none"/>
              </w:rPr>
              <w:t>7.1</w:t>
            </w:r>
            <w:r>
              <w:rPr>
                <w:rFonts w:hint="eastAsia"/>
                <w:b/>
                <w:bCs/>
                <w:color w:val="auto"/>
                <w:highlight w:val="none"/>
              </w:rPr>
              <w:t>风险物质</w:t>
            </w:r>
          </w:p>
          <w:p w14:paraId="1FB9FD0B">
            <w:pPr>
              <w:pStyle w:val="56"/>
              <w:ind w:firstLine="496"/>
              <w:rPr>
                <w:color w:val="auto"/>
                <w:highlight w:val="none"/>
              </w:rPr>
            </w:pPr>
            <w:r>
              <w:rPr>
                <w:rFonts w:hint="eastAsia"/>
                <w:color w:val="auto"/>
                <w:highlight w:val="none"/>
              </w:rPr>
              <w:t>对照《建设项目环境风险评价技术导则》（</w:t>
            </w:r>
            <w:r>
              <w:rPr>
                <w:color w:val="auto"/>
                <w:highlight w:val="none"/>
              </w:rPr>
              <w:t>HJT169-2018</w:t>
            </w:r>
            <w:r>
              <w:rPr>
                <w:rFonts w:hint="eastAsia"/>
                <w:color w:val="auto"/>
                <w:highlight w:val="none"/>
              </w:rPr>
              <w:t>）附录</w:t>
            </w:r>
            <w:r>
              <w:rPr>
                <w:color w:val="auto"/>
                <w:highlight w:val="none"/>
              </w:rPr>
              <w:t>B</w:t>
            </w:r>
            <w:r>
              <w:rPr>
                <w:rFonts w:hint="eastAsia"/>
                <w:color w:val="auto"/>
                <w:highlight w:val="none"/>
              </w:rPr>
              <w:t>、《危险化学品重大危险源辨识》</w:t>
            </w:r>
            <w:r>
              <w:rPr>
                <w:color w:val="auto"/>
                <w:highlight w:val="none"/>
              </w:rPr>
              <w:t>(GB18218-2018)</w:t>
            </w:r>
            <w:r>
              <w:rPr>
                <w:rFonts w:hint="eastAsia"/>
                <w:color w:val="auto"/>
                <w:highlight w:val="none"/>
              </w:rPr>
              <w:t>及对产品、主要原辅材料物性的分析，本项目建成后全厂不涉及环境风险物质。</w:t>
            </w:r>
          </w:p>
          <w:p w14:paraId="3D2D5C3F">
            <w:pPr>
              <w:adjustRightInd w:val="0"/>
              <w:snapToGrid w:val="0"/>
              <w:spacing w:line="360" w:lineRule="auto"/>
              <w:ind w:firstLine="482" w:firstLineChars="200"/>
              <w:rPr>
                <w:b/>
                <w:bCs/>
                <w:color w:val="auto"/>
                <w:highlight w:val="none"/>
              </w:rPr>
            </w:pPr>
            <w:r>
              <w:rPr>
                <w:b/>
                <w:bCs/>
                <w:color w:val="auto"/>
                <w:highlight w:val="none"/>
              </w:rPr>
              <w:t>7.5</w:t>
            </w:r>
            <w:r>
              <w:rPr>
                <w:rFonts w:hint="eastAsia"/>
                <w:b/>
                <w:bCs/>
                <w:color w:val="auto"/>
                <w:highlight w:val="none"/>
              </w:rPr>
              <w:t>结论</w:t>
            </w:r>
          </w:p>
          <w:p w14:paraId="1038C125">
            <w:pPr>
              <w:adjustRightInd w:val="0"/>
              <w:snapToGrid w:val="0"/>
              <w:spacing w:line="360" w:lineRule="auto"/>
              <w:ind w:firstLine="480" w:firstLineChars="200"/>
              <w:rPr>
                <w:color w:val="auto"/>
                <w:highlight w:val="none"/>
              </w:rPr>
            </w:pPr>
            <w:r>
              <w:rPr>
                <w:rFonts w:hint="eastAsia"/>
                <w:color w:val="auto"/>
                <w:highlight w:val="none"/>
              </w:rPr>
              <w:t>在各环境风险防范措施落实到位的情况下，可降低项目的环境风险，最大程度减少对环境可能造成的危害，项目对环境的风险影响可接受。</w:t>
            </w:r>
          </w:p>
          <w:p w14:paraId="6C565D43">
            <w:pPr>
              <w:adjustRightInd w:val="0"/>
              <w:snapToGrid w:val="0"/>
              <w:spacing w:line="360" w:lineRule="auto"/>
              <w:ind w:firstLine="482" w:firstLineChars="200"/>
              <w:rPr>
                <w:b/>
                <w:bCs/>
                <w:color w:val="auto"/>
                <w:highlight w:val="none"/>
              </w:rPr>
            </w:pPr>
            <w:r>
              <w:rPr>
                <w:b/>
                <w:bCs/>
                <w:color w:val="auto"/>
                <w:highlight w:val="none"/>
              </w:rPr>
              <w:t>8.</w:t>
            </w:r>
            <w:r>
              <w:rPr>
                <w:rFonts w:hint="eastAsia"/>
                <w:b/>
                <w:bCs/>
                <w:color w:val="auto"/>
                <w:highlight w:val="none"/>
              </w:rPr>
              <w:t>电磁辐射。</w:t>
            </w:r>
          </w:p>
          <w:p w14:paraId="4844D5B7">
            <w:pPr>
              <w:adjustRightInd w:val="0"/>
              <w:snapToGrid w:val="0"/>
              <w:spacing w:line="360" w:lineRule="auto"/>
              <w:ind w:firstLine="440" w:firstLineChars="200"/>
              <w:rPr>
                <w:bCs/>
                <w:color w:val="auto"/>
                <w:spacing w:val="-10"/>
                <w:highlight w:val="none"/>
              </w:rPr>
            </w:pPr>
            <w:r>
              <w:rPr>
                <w:rFonts w:hint="eastAsia"/>
                <w:bCs/>
                <w:color w:val="auto"/>
                <w:spacing w:val="-10"/>
                <w:highlight w:val="none"/>
              </w:rPr>
              <w:t>本项目不涉及。</w:t>
            </w:r>
          </w:p>
        </w:tc>
      </w:tr>
    </w:tbl>
    <w:p w14:paraId="6DBB42D6">
      <w:pPr>
        <w:ind w:firstLine="480"/>
        <w:rPr>
          <w:color w:val="auto"/>
          <w:highlight w:val="none"/>
        </w:rPr>
      </w:pPr>
    </w:p>
    <w:p w14:paraId="44000B32">
      <w:pPr>
        <w:pStyle w:val="23"/>
        <w:rPr>
          <w:snapToGrid w:val="0"/>
          <w:color w:val="auto"/>
          <w:highlight w:val="none"/>
        </w:rPr>
      </w:pPr>
      <w:r>
        <w:rPr>
          <w:rFonts w:hint="eastAsia"/>
          <w:snapToGrid w:val="0"/>
          <w:color w:val="auto"/>
          <w:highlight w:val="none"/>
        </w:rPr>
        <w:t>五、环境保护措施监督检查清单</w:t>
      </w:r>
    </w:p>
    <w:tbl>
      <w:tblPr>
        <w:tblStyle w:val="27"/>
        <w:tblW w:w="88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276"/>
        <w:gridCol w:w="1417"/>
        <w:gridCol w:w="1985"/>
        <w:gridCol w:w="2861"/>
      </w:tblGrid>
      <w:tr w14:paraId="08B72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66" w:type="dxa"/>
            <w:tcBorders>
              <w:tl2br w:val="single" w:color="auto" w:sz="4" w:space="0"/>
            </w:tcBorders>
          </w:tcPr>
          <w:p w14:paraId="50BA55F4">
            <w:pPr>
              <w:pStyle w:val="58"/>
              <w:rPr>
                <w:color w:val="auto"/>
                <w:sz w:val="24"/>
                <w:szCs w:val="24"/>
                <w:highlight w:val="none"/>
              </w:rPr>
            </w:pPr>
            <w:r>
              <w:rPr>
                <w:rFonts w:hint="eastAsia"/>
                <w:color w:val="auto"/>
                <w:sz w:val="24"/>
                <w:szCs w:val="24"/>
                <w:highlight w:val="none"/>
              </w:rPr>
              <w:t>内容</w:t>
            </w:r>
          </w:p>
          <w:p w14:paraId="178054D9">
            <w:pPr>
              <w:pStyle w:val="58"/>
              <w:rPr>
                <w:color w:val="auto"/>
                <w:sz w:val="24"/>
                <w:szCs w:val="24"/>
                <w:highlight w:val="none"/>
              </w:rPr>
            </w:pPr>
          </w:p>
          <w:p w14:paraId="3143CF31">
            <w:pPr>
              <w:pStyle w:val="58"/>
              <w:rPr>
                <w:color w:val="auto"/>
                <w:sz w:val="24"/>
                <w:szCs w:val="24"/>
                <w:highlight w:val="none"/>
              </w:rPr>
            </w:pPr>
            <w:r>
              <w:rPr>
                <w:rFonts w:hint="eastAsia"/>
                <w:color w:val="auto"/>
                <w:sz w:val="24"/>
                <w:szCs w:val="24"/>
                <w:highlight w:val="none"/>
              </w:rPr>
              <w:t>要素</w:t>
            </w:r>
          </w:p>
        </w:tc>
        <w:tc>
          <w:tcPr>
            <w:tcW w:w="1276" w:type="dxa"/>
            <w:vAlign w:val="center"/>
          </w:tcPr>
          <w:p w14:paraId="117053C9">
            <w:pPr>
              <w:pStyle w:val="58"/>
              <w:rPr>
                <w:color w:val="auto"/>
                <w:sz w:val="24"/>
                <w:szCs w:val="24"/>
                <w:highlight w:val="none"/>
              </w:rPr>
            </w:pPr>
            <w:r>
              <w:rPr>
                <w:rFonts w:hint="eastAsia"/>
                <w:color w:val="auto"/>
                <w:sz w:val="24"/>
                <w:szCs w:val="24"/>
                <w:highlight w:val="none"/>
              </w:rPr>
              <w:t>排放口</w:t>
            </w:r>
            <w:r>
              <w:rPr>
                <w:color w:val="auto"/>
                <w:sz w:val="24"/>
                <w:szCs w:val="24"/>
                <w:highlight w:val="none"/>
              </w:rPr>
              <w:t>(</w:t>
            </w:r>
            <w:r>
              <w:rPr>
                <w:rFonts w:hint="eastAsia"/>
                <w:color w:val="auto"/>
                <w:sz w:val="24"/>
                <w:szCs w:val="24"/>
                <w:highlight w:val="none"/>
              </w:rPr>
              <w:t>编号、名称</w:t>
            </w:r>
            <w:r>
              <w:rPr>
                <w:color w:val="auto"/>
                <w:sz w:val="24"/>
                <w:szCs w:val="24"/>
                <w:highlight w:val="none"/>
              </w:rPr>
              <w:t>)/</w:t>
            </w:r>
            <w:r>
              <w:rPr>
                <w:rFonts w:hint="eastAsia"/>
                <w:color w:val="auto"/>
                <w:sz w:val="24"/>
                <w:szCs w:val="24"/>
                <w:highlight w:val="none"/>
              </w:rPr>
              <w:t>污染源</w:t>
            </w:r>
          </w:p>
        </w:tc>
        <w:tc>
          <w:tcPr>
            <w:tcW w:w="1417" w:type="dxa"/>
            <w:vAlign w:val="center"/>
          </w:tcPr>
          <w:p w14:paraId="1D4AF65A">
            <w:pPr>
              <w:pStyle w:val="58"/>
              <w:rPr>
                <w:color w:val="auto"/>
                <w:sz w:val="24"/>
                <w:szCs w:val="24"/>
                <w:highlight w:val="none"/>
              </w:rPr>
            </w:pPr>
            <w:r>
              <w:rPr>
                <w:rFonts w:hint="eastAsia"/>
                <w:color w:val="auto"/>
                <w:sz w:val="24"/>
                <w:szCs w:val="24"/>
                <w:highlight w:val="none"/>
              </w:rPr>
              <w:t>污染物项目</w:t>
            </w:r>
          </w:p>
        </w:tc>
        <w:tc>
          <w:tcPr>
            <w:tcW w:w="1985" w:type="dxa"/>
            <w:vAlign w:val="center"/>
          </w:tcPr>
          <w:p w14:paraId="5FD9943D">
            <w:pPr>
              <w:pStyle w:val="58"/>
              <w:rPr>
                <w:color w:val="auto"/>
                <w:sz w:val="24"/>
                <w:szCs w:val="24"/>
                <w:highlight w:val="none"/>
              </w:rPr>
            </w:pPr>
            <w:r>
              <w:rPr>
                <w:rFonts w:hint="eastAsia"/>
                <w:color w:val="auto"/>
                <w:sz w:val="24"/>
                <w:szCs w:val="24"/>
                <w:highlight w:val="none"/>
              </w:rPr>
              <w:t>环境保护措施</w:t>
            </w:r>
          </w:p>
        </w:tc>
        <w:tc>
          <w:tcPr>
            <w:tcW w:w="2861" w:type="dxa"/>
            <w:vAlign w:val="center"/>
          </w:tcPr>
          <w:p w14:paraId="3918D52E">
            <w:pPr>
              <w:pStyle w:val="58"/>
              <w:rPr>
                <w:color w:val="auto"/>
                <w:sz w:val="24"/>
                <w:szCs w:val="24"/>
                <w:highlight w:val="none"/>
              </w:rPr>
            </w:pPr>
            <w:r>
              <w:rPr>
                <w:rFonts w:hint="eastAsia"/>
                <w:color w:val="auto"/>
                <w:sz w:val="24"/>
                <w:szCs w:val="24"/>
                <w:highlight w:val="none"/>
              </w:rPr>
              <w:t>执行标准</w:t>
            </w:r>
          </w:p>
        </w:tc>
      </w:tr>
      <w:tr w14:paraId="2AC96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266" w:type="dxa"/>
            <w:vAlign w:val="center"/>
          </w:tcPr>
          <w:p w14:paraId="75E8C2E1">
            <w:pPr>
              <w:pStyle w:val="58"/>
              <w:rPr>
                <w:color w:val="auto"/>
                <w:sz w:val="24"/>
                <w:szCs w:val="24"/>
                <w:highlight w:val="none"/>
              </w:rPr>
            </w:pPr>
            <w:r>
              <w:rPr>
                <w:rFonts w:hint="eastAsia"/>
                <w:color w:val="auto"/>
                <w:sz w:val="24"/>
                <w:szCs w:val="24"/>
                <w:highlight w:val="none"/>
              </w:rPr>
              <w:t>大气环境</w:t>
            </w:r>
          </w:p>
        </w:tc>
        <w:tc>
          <w:tcPr>
            <w:tcW w:w="1276" w:type="dxa"/>
            <w:tcBorders>
              <w:bottom w:val="single" w:color="auto" w:sz="2" w:space="0"/>
            </w:tcBorders>
            <w:vAlign w:val="center"/>
          </w:tcPr>
          <w:p w14:paraId="7D893981">
            <w:pPr>
              <w:pStyle w:val="58"/>
              <w:rPr>
                <w:color w:val="auto"/>
                <w:sz w:val="24"/>
                <w:szCs w:val="24"/>
                <w:highlight w:val="none"/>
              </w:rPr>
            </w:pPr>
            <w:r>
              <w:rPr>
                <w:rFonts w:hint="eastAsia"/>
                <w:color w:val="auto"/>
                <w:sz w:val="24"/>
                <w:szCs w:val="24"/>
                <w:highlight w:val="none"/>
              </w:rPr>
              <w:t>/</w:t>
            </w:r>
          </w:p>
        </w:tc>
        <w:tc>
          <w:tcPr>
            <w:tcW w:w="1417" w:type="dxa"/>
            <w:tcBorders>
              <w:bottom w:val="single" w:color="auto" w:sz="2" w:space="0"/>
            </w:tcBorders>
            <w:vAlign w:val="center"/>
          </w:tcPr>
          <w:p w14:paraId="14700F2A">
            <w:pPr>
              <w:pStyle w:val="58"/>
              <w:rPr>
                <w:color w:val="auto"/>
                <w:sz w:val="24"/>
                <w:szCs w:val="24"/>
                <w:highlight w:val="none"/>
              </w:rPr>
            </w:pPr>
            <w:r>
              <w:rPr>
                <w:rFonts w:hint="eastAsia"/>
                <w:color w:val="auto"/>
                <w:sz w:val="24"/>
                <w:szCs w:val="24"/>
                <w:highlight w:val="none"/>
              </w:rPr>
              <w:t>/</w:t>
            </w:r>
          </w:p>
        </w:tc>
        <w:tc>
          <w:tcPr>
            <w:tcW w:w="1985" w:type="dxa"/>
            <w:tcBorders>
              <w:bottom w:val="single" w:color="auto" w:sz="2" w:space="0"/>
            </w:tcBorders>
            <w:vAlign w:val="center"/>
          </w:tcPr>
          <w:p w14:paraId="2A027721">
            <w:pPr>
              <w:pStyle w:val="58"/>
              <w:rPr>
                <w:color w:val="auto"/>
                <w:sz w:val="24"/>
                <w:szCs w:val="24"/>
                <w:highlight w:val="none"/>
              </w:rPr>
            </w:pPr>
            <w:r>
              <w:rPr>
                <w:rFonts w:hint="eastAsia"/>
                <w:color w:val="auto"/>
                <w:sz w:val="24"/>
                <w:szCs w:val="24"/>
                <w:highlight w:val="none"/>
              </w:rPr>
              <w:t>/</w:t>
            </w:r>
          </w:p>
        </w:tc>
        <w:tc>
          <w:tcPr>
            <w:tcW w:w="2861" w:type="dxa"/>
            <w:vAlign w:val="center"/>
          </w:tcPr>
          <w:p w14:paraId="3BA101A8">
            <w:pPr>
              <w:pStyle w:val="58"/>
              <w:rPr>
                <w:color w:val="auto"/>
                <w:sz w:val="24"/>
                <w:szCs w:val="24"/>
                <w:highlight w:val="none"/>
              </w:rPr>
            </w:pPr>
            <w:r>
              <w:rPr>
                <w:rFonts w:hint="eastAsia"/>
                <w:color w:val="auto"/>
                <w:sz w:val="24"/>
                <w:szCs w:val="24"/>
                <w:highlight w:val="none"/>
              </w:rPr>
              <w:t>/</w:t>
            </w:r>
          </w:p>
        </w:tc>
      </w:tr>
      <w:tr w14:paraId="12D41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6" w:type="dxa"/>
            <w:vMerge w:val="restart"/>
            <w:vAlign w:val="center"/>
          </w:tcPr>
          <w:p w14:paraId="0C7EE2E0">
            <w:pPr>
              <w:pStyle w:val="58"/>
              <w:rPr>
                <w:color w:val="auto"/>
                <w:sz w:val="24"/>
                <w:szCs w:val="24"/>
                <w:highlight w:val="none"/>
              </w:rPr>
            </w:pPr>
            <w:r>
              <w:rPr>
                <w:rFonts w:hint="eastAsia"/>
                <w:color w:val="auto"/>
                <w:sz w:val="24"/>
                <w:szCs w:val="24"/>
                <w:highlight w:val="none"/>
              </w:rPr>
              <w:t>地表水环境</w:t>
            </w:r>
          </w:p>
        </w:tc>
        <w:tc>
          <w:tcPr>
            <w:tcW w:w="1276" w:type="dxa"/>
            <w:vAlign w:val="center"/>
          </w:tcPr>
          <w:p w14:paraId="7AD25FBF">
            <w:pPr>
              <w:pStyle w:val="58"/>
              <w:rPr>
                <w:color w:val="auto"/>
                <w:sz w:val="24"/>
                <w:szCs w:val="24"/>
                <w:highlight w:val="none"/>
              </w:rPr>
            </w:pPr>
            <w:r>
              <w:rPr>
                <w:color w:val="auto"/>
                <w:sz w:val="24"/>
                <w:szCs w:val="24"/>
                <w:highlight w:val="none"/>
              </w:rPr>
              <w:t>DW001</w:t>
            </w:r>
          </w:p>
        </w:tc>
        <w:tc>
          <w:tcPr>
            <w:tcW w:w="1417" w:type="dxa"/>
            <w:vAlign w:val="center"/>
          </w:tcPr>
          <w:p w14:paraId="73B02150">
            <w:pPr>
              <w:pStyle w:val="58"/>
              <w:rPr>
                <w:color w:val="auto"/>
                <w:sz w:val="24"/>
                <w:szCs w:val="24"/>
                <w:highlight w:val="none"/>
              </w:rPr>
            </w:pPr>
            <w:r>
              <w:rPr>
                <w:color w:val="auto"/>
                <w:sz w:val="24"/>
                <w:szCs w:val="24"/>
                <w:highlight w:val="none"/>
              </w:rPr>
              <w:t>COD</w:t>
            </w:r>
          </w:p>
          <w:p w14:paraId="46FAEEE0">
            <w:pPr>
              <w:pStyle w:val="58"/>
              <w:rPr>
                <w:color w:val="auto"/>
                <w:sz w:val="24"/>
                <w:szCs w:val="24"/>
                <w:highlight w:val="none"/>
              </w:rPr>
            </w:pPr>
            <w:r>
              <w:rPr>
                <w:color w:val="auto"/>
                <w:sz w:val="24"/>
                <w:szCs w:val="24"/>
                <w:highlight w:val="none"/>
              </w:rPr>
              <w:t>SS</w:t>
            </w:r>
          </w:p>
          <w:p w14:paraId="23AAE81C">
            <w:pPr>
              <w:pStyle w:val="58"/>
              <w:rPr>
                <w:color w:val="auto"/>
                <w:sz w:val="24"/>
                <w:szCs w:val="24"/>
                <w:highlight w:val="none"/>
              </w:rPr>
            </w:pPr>
            <w:r>
              <w:rPr>
                <w:rFonts w:hint="eastAsia"/>
                <w:color w:val="auto"/>
                <w:sz w:val="24"/>
                <w:szCs w:val="24"/>
                <w:highlight w:val="none"/>
              </w:rPr>
              <w:t>氨氮</w:t>
            </w:r>
          </w:p>
          <w:p w14:paraId="6E9740C0">
            <w:pPr>
              <w:pStyle w:val="58"/>
              <w:rPr>
                <w:color w:val="auto"/>
                <w:sz w:val="24"/>
                <w:szCs w:val="24"/>
                <w:highlight w:val="none"/>
              </w:rPr>
            </w:pPr>
            <w:r>
              <w:rPr>
                <w:color w:val="auto"/>
                <w:sz w:val="24"/>
                <w:szCs w:val="24"/>
                <w:highlight w:val="none"/>
              </w:rPr>
              <w:t>TN</w:t>
            </w:r>
          </w:p>
          <w:p w14:paraId="3B9C0A00">
            <w:pPr>
              <w:pStyle w:val="58"/>
              <w:rPr>
                <w:color w:val="auto"/>
                <w:sz w:val="24"/>
                <w:szCs w:val="24"/>
                <w:highlight w:val="none"/>
              </w:rPr>
            </w:pPr>
            <w:r>
              <w:rPr>
                <w:color w:val="auto"/>
                <w:sz w:val="24"/>
                <w:szCs w:val="24"/>
                <w:highlight w:val="none"/>
              </w:rPr>
              <w:t>TP</w:t>
            </w:r>
          </w:p>
        </w:tc>
        <w:tc>
          <w:tcPr>
            <w:tcW w:w="1985" w:type="dxa"/>
            <w:vAlign w:val="center"/>
          </w:tcPr>
          <w:p w14:paraId="6C386C67">
            <w:pPr>
              <w:pStyle w:val="58"/>
              <w:rPr>
                <w:color w:val="auto"/>
                <w:sz w:val="24"/>
                <w:szCs w:val="24"/>
                <w:highlight w:val="none"/>
              </w:rPr>
            </w:pPr>
            <w:r>
              <w:rPr>
                <w:rFonts w:hint="eastAsia"/>
                <w:color w:val="auto"/>
                <w:sz w:val="24"/>
                <w:szCs w:val="24"/>
                <w:highlight w:val="none"/>
              </w:rPr>
              <w:t>接入江阴市月城综合污水处理有限公司集中处理</w:t>
            </w:r>
          </w:p>
        </w:tc>
        <w:tc>
          <w:tcPr>
            <w:tcW w:w="2861" w:type="dxa"/>
            <w:vAlign w:val="center"/>
          </w:tcPr>
          <w:p w14:paraId="4BA3936B">
            <w:pPr>
              <w:pStyle w:val="58"/>
              <w:rPr>
                <w:color w:val="auto"/>
                <w:sz w:val="24"/>
                <w:szCs w:val="24"/>
                <w:highlight w:val="none"/>
              </w:rPr>
            </w:pPr>
            <w:r>
              <w:rPr>
                <w:rFonts w:hint="eastAsia"/>
                <w:color w:val="auto"/>
                <w:sz w:val="24"/>
                <w:szCs w:val="24"/>
                <w:highlight w:val="none"/>
              </w:rPr>
              <w:t>接管标准执行GB8978-1996表4中的三级标准和GB/T31962-2015表1中B级标准</w:t>
            </w:r>
          </w:p>
          <w:p w14:paraId="5D5B4E34">
            <w:pPr>
              <w:pStyle w:val="58"/>
              <w:rPr>
                <w:color w:val="auto"/>
                <w:sz w:val="24"/>
                <w:szCs w:val="24"/>
                <w:highlight w:val="none"/>
              </w:rPr>
            </w:pPr>
            <w:r>
              <w:rPr>
                <w:color w:val="auto"/>
                <w:sz w:val="24"/>
                <w:szCs w:val="24"/>
                <w:highlight w:val="none"/>
              </w:rPr>
              <w:t>COD</w:t>
            </w:r>
            <w:r>
              <w:rPr>
                <w:rFonts w:hint="eastAsia"/>
                <w:color w:val="auto"/>
                <w:sz w:val="24"/>
                <w:szCs w:val="24"/>
                <w:highlight w:val="none"/>
              </w:rPr>
              <w:t>：</w:t>
            </w:r>
            <w:r>
              <w:rPr>
                <w:color w:val="auto"/>
                <w:sz w:val="24"/>
                <w:szCs w:val="24"/>
                <w:highlight w:val="none"/>
              </w:rPr>
              <w:t>500mg/L</w:t>
            </w:r>
            <w:r>
              <w:rPr>
                <w:rFonts w:hint="eastAsia"/>
                <w:color w:val="auto"/>
                <w:sz w:val="24"/>
                <w:szCs w:val="24"/>
                <w:highlight w:val="none"/>
              </w:rPr>
              <w:t>；S</w:t>
            </w:r>
            <w:r>
              <w:rPr>
                <w:color w:val="auto"/>
                <w:sz w:val="24"/>
                <w:szCs w:val="24"/>
                <w:highlight w:val="none"/>
              </w:rPr>
              <w:t>S:400mg/L</w:t>
            </w:r>
            <w:r>
              <w:rPr>
                <w:rFonts w:hint="eastAsia"/>
                <w:color w:val="auto"/>
                <w:sz w:val="24"/>
                <w:szCs w:val="24"/>
                <w:highlight w:val="none"/>
              </w:rPr>
              <w:t>；氨氮：</w:t>
            </w:r>
            <w:r>
              <w:rPr>
                <w:color w:val="auto"/>
                <w:sz w:val="24"/>
                <w:szCs w:val="24"/>
                <w:highlight w:val="none"/>
              </w:rPr>
              <w:t>45mg/L</w:t>
            </w:r>
            <w:r>
              <w:rPr>
                <w:rFonts w:hint="eastAsia"/>
                <w:color w:val="auto"/>
                <w:sz w:val="24"/>
                <w:szCs w:val="24"/>
                <w:highlight w:val="none"/>
              </w:rPr>
              <w:t>；总磷：</w:t>
            </w:r>
            <w:r>
              <w:rPr>
                <w:color w:val="auto"/>
                <w:sz w:val="24"/>
                <w:szCs w:val="24"/>
                <w:highlight w:val="none"/>
              </w:rPr>
              <w:t>8mg/L</w:t>
            </w:r>
            <w:r>
              <w:rPr>
                <w:rFonts w:hint="eastAsia"/>
                <w:color w:val="auto"/>
                <w:sz w:val="24"/>
                <w:szCs w:val="24"/>
                <w:highlight w:val="none"/>
              </w:rPr>
              <w:t>；总氮：</w:t>
            </w:r>
            <w:r>
              <w:rPr>
                <w:color w:val="auto"/>
                <w:sz w:val="24"/>
                <w:szCs w:val="24"/>
                <w:highlight w:val="none"/>
              </w:rPr>
              <w:t>70mg/L。</w:t>
            </w:r>
          </w:p>
        </w:tc>
      </w:tr>
      <w:tr w14:paraId="584B4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6" w:type="dxa"/>
            <w:vMerge w:val="continue"/>
            <w:vAlign w:val="center"/>
          </w:tcPr>
          <w:p w14:paraId="6D379C36">
            <w:pPr>
              <w:pStyle w:val="58"/>
              <w:rPr>
                <w:color w:val="auto"/>
                <w:sz w:val="24"/>
                <w:szCs w:val="24"/>
                <w:highlight w:val="none"/>
              </w:rPr>
            </w:pPr>
          </w:p>
        </w:tc>
        <w:tc>
          <w:tcPr>
            <w:tcW w:w="1276" w:type="dxa"/>
            <w:vAlign w:val="center"/>
          </w:tcPr>
          <w:p w14:paraId="0970A853">
            <w:pPr>
              <w:adjustRightInd w:val="0"/>
              <w:snapToGrid w:val="0"/>
              <w:ind w:left="-105" w:right="-105"/>
              <w:jc w:val="center"/>
              <w:rPr>
                <w:color w:val="auto"/>
                <w:sz w:val="32"/>
                <w:szCs w:val="32"/>
                <w:highlight w:val="none"/>
              </w:rPr>
            </w:pPr>
            <w:r>
              <w:rPr>
                <w:rFonts w:hint="eastAsia"/>
                <w:color w:val="auto"/>
                <w:highlight w:val="none"/>
              </w:rPr>
              <w:t>清洗废水</w:t>
            </w:r>
          </w:p>
        </w:tc>
        <w:tc>
          <w:tcPr>
            <w:tcW w:w="1417" w:type="dxa"/>
            <w:vAlign w:val="center"/>
          </w:tcPr>
          <w:p w14:paraId="41F6306C">
            <w:pPr>
              <w:jc w:val="center"/>
              <w:rPr>
                <w:color w:val="auto"/>
                <w:highlight w:val="none"/>
              </w:rPr>
            </w:pPr>
            <w:r>
              <w:rPr>
                <w:rFonts w:hint="eastAsia"/>
                <w:color w:val="auto"/>
                <w:highlight w:val="none"/>
              </w:rPr>
              <w:t>pH</w:t>
            </w:r>
          </w:p>
          <w:p w14:paraId="1CAC88E3">
            <w:pPr>
              <w:jc w:val="center"/>
              <w:rPr>
                <w:color w:val="auto"/>
                <w:highlight w:val="none"/>
              </w:rPr>
            </w:pPr>
            <w:r>
              <w:rPr>
                <w:rFonts w:hint="eastAsia"/>
                <w:color w:val="auto"/>
                <w:highlight w:val="none"/>
              </w:rPr>
              <w:t>COD</w:t>
            </w:r>
          </w:p>
          <w:p w14:paraId="220C244A">
            <w:pPr>
              <w:jc w:val="center"/>
              <w:rPr>
                <w:color w:val="auto"/>
                <w:sz w:val="32"/>
                <w:szCs w:val="32"/>
                <w:highlight w:val="none"/>
              </w:rPr>
            </w:pPr>
            <w:r>
              <w:rPr>
                <w:rFonts w:hint="eastAsia"/>
                <w:color w:val="auto"/>
                <w:highlight w:val="none"/>
              </w:rPr>
              <w:t>SS</w:t>
            </w:r>
          </w:p>
        </w:tc>
        <w:tc>
          <w:tcPr>
            <w:tcW w:w="1985" w:type="dxa"/>
            <w:vAlign w:val="center"/>
          </w:tcPr>
          <w:p w14:paraId="46D8EAB9">
            <w:pPr>
              <w:adjustRightInd w:val="0"/>
              <w:snapToGrid w:val="0"/>
              <w:ind w:left="-105" w:right="-105"/>
              <w:jc w:val="center"/>
              <w:rPr>
                <w:color w:val="auto"/>
                <w:sz w:val="32"/>
                <w:szCs w:val="32"/>
                <w:highlight w:val="none"/>
              </w:rPr>
            </w:pPr>
            <w:r>
              <w:rPr>
                <w:rFonts w:hint="eastAsia"/>
                <w:color w:val="auto"/>
                <w:highlight w:val="none"/>
              </w:rPr>
              <w:t>经废水处理设施处理后回用</w:t>
            </w:r>
          </w:p>
        </w:tc>
        <w:tc>
          <w:tcPr>
            <w:tcW w:w="2861" w:type="dxa"/>
            <w:vAlign w:val="center"/>
          </w:tcPr>
          <w:p w14:paraId="0AB18BC2">
            <w:pPr>
              <w:adjustRightInd w:val="0"/>
              <w:snapToGrid w:val="0"/>
              <w:ind w:left="-105" w:right="-105"/>
              <w:jc w:val="center"/>
              <w:rPr>
                <w:color w:val="auto"/>
                <w:sz w:val="32"/>
                <w:szCs w:val="32"/>
                <w:highlight w:val="none"/>
              </w:rPr>
            </w:pPr>
            <w:r>
              <w:rPr>
                <w:rFonts w:hint="eastAsia"/>
                <w:color w:val="auto"/>
                <w:highlight w:val="none"/>
              </w:rPr>
              <w:t>GB/T 19923-2024表1中的洗涤用水标准，COD≤50mg/L；</w:t>
            </w:r>
          </w:p>
        </w:tc>
      </w:tr>
      <w:tr w14:paraId="43A69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6" w:type="dxa"/>
            <w:vMerge w:val="continue"/>
            <w:vAlign w:val="center"/>
          </w:tcPr>
          <w:p w14:paraId="5C2524DA">
            <w:pPr>
              <w:pStyle w:val="58"/>
              <w:rPr>
                <w:color w:val="auto"/>
                <w:sz w:val="24"/>
                <w:szCs w:val="24"/>
                <w:highlight w:val="none"/>
              </w:rPr>
            </w:pPr>
          </w:p>
        </w:tc>
        <w:tc>
          <w:tcPr>
            <w:tcW w:w="1276" w:type="dxa"/>
            <w:vAlign w:val="center"/>
          </w:tcPr>
          <w:p w14:paraId="1803ABB2">
            <w:pPr>
              <w:adjustRightInd w:val="0"/>
              <w:snapToGrid w:val="0"/>
              <w:ind w:left="-105" w:right="-105"/>
              <w:jc w:val="center"/>
              <w:rPr>
                <w:color w:val="auto"/>
                <w:sz w:val="32"/>
                <w:szCs w:val="32"/>
                <w:highlight w:val="none"/>
              </w:rPr>
            </w:pPr>
            <w:r>
              <w:rPr>
                <w:rFonts w:hint="eastAsia"/>
                <w:color w:val="auto"/>
                <w:highlight w:val="none"/>
              </w:rPr>
              <w:t>浓水</w:t>
            </w:r>
          </w:p>
        </w:tc>
        <w:tc>
          <w:tcPr>
            <w:tcW w:w="1417" w:type="dxa"/>
            <w:vAlign w:val="center"/>
          </w:tcPr>
          <w:p w14:paraId="5FDE7FBD">
            <w:pPr>
              <w:jc w:val="center"/>
              <w:rPr>
                <w:color w:val="auto"/>
                <w:highlight w:val="none"/>
              </w:rPr>
            </w:pPr>
            <w:r>
              <w:rPr>
                <w:rFonts w:hint="eastAsia"/>
                <w:color w:val="auto"/>
                <w:highlight w:val="none"/>
              </w:rPr>
              <w:t>pH</w:t>
            </w:r>
          </w:p>
          <w:p w14:paraId="75D758B6">
            <w:pPr>
              <w:jc w:val="center"/>
              <w:rPr>
                <w:color w:val="auto"/>
                <w:highlight w:val="none"/>
              </w:rPr>
            </w:pPr>
            <w:r>
              <w:rPr>
                <w:rFonts w:hint="eastAsia"/>
                <w:color w:val="auto"/>
                <w:highlight w:val="none"/>
              </w:rPr>
              <w:t>COD</w:t>
            </w:r>
          </w:p>
          <w:p w14:paraId="61734343">
            <w:pPr>
              <w:jc w:val="center"/>
              <w:rPr>
                <w:color w:val="auto"/>
                <w:sz w:val="32"/>
                <w:szCs w:val="32"/>
                <w:highlight w:val="none"/>
              </w:rPr>
            </w:pPr>
            <w:r>
              <w:rPr>
                <w:rFonts w:hint="eastAsia"/>
                <w:color w:val="auto"/>
                <w:highlight w:val="none"/>
              </w:rPr>
              <w:t>SS</w:t>
            </w:r>
          </w:p>
        </w:tc>
        <w:tc>
          <w:tcPr>
            <w:tcW w:w="1985" w:type="dxa"/>
            <w:vAlign w:val="center"/>
          </w:tcPr>
          <w:p w14:paraId="1DE85901">
            <w:pPr>
              <w:adjustRightInd w:val="0"/>
              <w:snapToGrid w:val="0"/>
              <w:ind w:left="-105" w:right="-105"/>
              <w:jc w:val="center"/>
              <w:rPr>
                <w:color w:val="auto"/>
                <w:sz w:val="32"/>
                <w:szCs w:val="32"/>
                <w:highlight w:val="none"/>
              </w:rPr>
            </w:pPr>
            <w:r>
              <w:rPr>
                <w:rFonts w:hint="eastAsia"/>
                <w:color w:val="auto"/>
                <w:highlight w:val="none"/>
              </w:rPr>
              <w:t>委托江阴市奕水盈科技有限公司集中处理</w:t>
            </w:r>
          </w:p>
        </w:tc>
        <w:tc>
          <w:tcPr>
            <w:tcW w:w="2861" w:type="dxa"/>
            <w:vAlign w:val="center"/>
          </w:tcPr>
          <w:p w14:paraId="75AB31E8">
            <w:pPr>
              <w:adjustRightInd w:val="0"/>
              <w:snapToGrid w:val="0"/>
              <w:ind w:left="-105" w:right="-105"/>
              <w:jc w:val="center"/>
              <w:rPr>
                <w:color w:val="auto"/>
                <w:sz w:val="32"/>
                <w:szCs w:val="32"/>
                <w:highlight w:val="none"/>
              </w:rPr>
            </w:pPr>
            <w:r>
              <w:rPr>
                <w:rFonts w:hint="eastAsia"/>
                <w:color w:val="auto"/>
                <w:highlight w:val="none"/>
              </w:rPr>
              <w:t>厂控标准，COD≤3500mg/L；SS≤400mg/L。</w:t>
            </w:r>
          </w:p>
        </w:tc>
      </w:tr>
      <w:tr w14:paraId="263FE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6" w:type="dxa"/>
            <w:vAlign w:val="center"/>
          </w:tcPr>
          <w:p w14:paraId="69810446">
            <w:pPr>
              <w:pStyle w:val="58"/>
              <w:rPr>
                <w:color w:val="auto"/>
                <w:sz w:val="24"/>
                <w:szCs w:val="24"/>
                <w:highlight w:val="none"/>
              </w:rPr>
            </w:pPr>
            <w:r>
              <w:rPr>
                <w:rFonts w:hint="eastAsia"/>
                <w:color w:val="auto"/>
                <w:sz w:val="24"/>
                <w:szCs w:val="24"/>
                <w:highlight w:val="none"/>
              </w:rPr>
              <w:t>声环境</w:t>
            </w:r>
          </w:p>
        </w:tc>
        <w:tc>
          <w:tcPr>
            <w:tcW w:w="2693" w:type="dxa"/>
            <w:gridSpan w:val="2"/>
            <w:vAlign w:val="center"/>
          </w:tcPr>
          <w:p w14:paraId="158DD5FD">
            <w:pPr>
              <w:pStyle w:val="58"/>
              <w:rPr>
                <w:color w:val="auto"/>
                <w:sz w:val="24"/>
                <w:szCs w:val="24"/>
                <w:highlight w:val="none"/>
              </w:rPr>
            </w:pPr>
            <w:r>
              <w:rPr>
                <w:rFonts w:hint="eastAsia"/>
                <w:color w:val="auto"/>
                <w:sz w:val="24"/>
                <w:szCs w:val="24"/>
                <w:highlight w:val="none"/>
              </w:rPr>
              <w:t>本项目噪声源主要为洗珠桶、离心机、烤亮机等生产及辅助设备，单台噪声源强≤</w:t>
            </w:r>
            <w:r>
              <w:rPr>
                <w:color w:val="auto"/>
                <w:sz w:val="24"/>
                <w:szCs w:val="24"/>
                <w:highlight w:val="none"/>
              </w:rPr>
              <w:t>dB(A)</w:t>
            </w:r>
            <w:r>
              <w:rPr>
                <w:rFonts w:hint="eastAsia"/>
                <w:color w:val="auto"/>
                <w:sz w:val="24"/>
                <w:szCs w:val="24"/>
                <w:highlight w:val="none"/>
              </w:rPr>
              <w:t>。</w:t>
            </w:r>
          </w:p>
        </w:tc>
        <w:tc>
          <w:tcPr>
            <w:tcW w:w="1985" w:type="dxa"/>
            <w:vAlign w:val="center"/>
          </w:tcPr>
          <w:p w14:paraId="7D56F53E">
            <w:pPr>
              <w:pStyle w:val="58"/>
              <w:rPr>
                <w:color w:val="auto"/>
                <w:sz w:val="24"/>
                <w:szCs w:val="24"/>
                <w:highlight w:val="none"/>
              </w:rPr>
            </w:pPr>
            <w:r>
              <w:rPr>
                <w:rFonts w:hint="eastAsia"/>
                <w:color w:val="auto"/>
                <w:sz w:val="24"/>
                <w:szCs w:val="24"/>
                <w:highlight w:val="none"/>
              </w:rPr>
              <w:t>选用低噪声设备，设备设置于室内，车间厂房隔声，距离衰减；</w:t>
            </w:r>
          </w:p>
        </w:tc>
        <w:tc>
          <w:tcPr>
            <w:tcW w:w="2861" w:type="dxa"/>
            <w:vAlign w:val="center"/>
          </w:tcPr>
          <w:p w14:paraId="0C0B3D6B">
            <w:pPr>
              <w:pStyle w:val="58"/>
              <w:rPr>
                <w:color w:val="auto"/>
                <w:sz w:val="24"/>
                <w:szCs w:val="24"/>
                <w:highlight w:val="none"/>
              </w:rPr>
            </w:pPr>
            <w:r>
              <w:rPr>
                <w:rFonts w:hint="eastAsia"/>
                <w:color w:val="auto"/>
                <w:sz w:val="24"/>
                <w:szCs w:val="24"/>
                <w:highlight w:val="none"/>
              </w:rPr>
              <w:t>达</w:t>
            </w:r>
            <w:r>
              <w:rPr>
                <w:color w:val="auto"/>
                <w:sz w:val="24"/>
                <w:szCs w:val="24"/>
                <w:highlight w:val="none"/>
              </w:rPr>
              <w:t>GB12348-2008</w:t>
            </w:r>
            <w:r>
              <w:rPr>
                <w:rFonts w:hint="eastAsia"/>
                <w:color w:val="auto"/>
                <w:sz w:val="24"/>
                <w:szCs w:val="24"/>
                <w:highlight w:val="none"/>
              </w:rPr>
              <w:t>表</w:t>
            </w:r>
            <w:r>
              <w:rPr>
                <w:color w:val="auto"/>
                <w:sz w:val="24"/>
                <w:szCs w:val="24"/>
                <w:highlight w:val="none"/>
              </w:rPr>
              <w:t>1</w:t>
            </w:r>
            <w:r>
              <w:rPr>
                <w:rFonts w:hint="eastAsia"/>
                <w:color w:val="auto"/>
                <w:sz w:val="24"/>
                <w:szCs w:val="24"/>
                <w:highlight w:val="none"/>
              </w:rPr>
              <w:t>中</w:t>
            </w:r>
            <w:r>
              <w:rPr>
                <w:color w:val="auto"/>
                <w:sz w:val="24"/>
                <w:szCs w:val="24"/>
                <w:highlight w:val="none"/>
              </w:rPr>
              <w:t>3</w:t>
            </w:r>
            <w:r>
              <w:rPr>
                <w:rFonts w:hint="eastAsia"/>
                <w:color w:val="auto"/>
                <w:sz w:val="24"/>
                <w:szCs w:val="24"/>
                <w:highlight w:val="none"/>
              </w:rPr>
              <w:t>类标准，昼间：≤</w:t>
            </w:r>
            <w:r>
              <w:rPr>
                <w:color w:val="auto"/>
                <w:sz w:val="24"/>
                <w:szCs w:val="24"/>
                <w:highlight w:val="none"/>
              </w:rPr>
              <w:t>65dB(A)</w:t>
            </w:r>
            <w:r>
              <w:rPr>
                <w:rFonts w:hint="eastAsia"/>
                <w:color w:val="auto"/>
                <w:sz w:val="24"/>
                <w:szCs w:val="24"/>
                <w:highlight w:val="none"/>
              </w:rPr>
              <w:t>、夜间≤55dB(A)。</w:t>
            </w:r>
          </w:p>
        </w:tc>
      </w:tr>
      <w:tr w14:paraId="7CD61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6" w:type="dxa"/>
            <w:vAlign w:val="center"/>
          </w:tcPr>
          <w:p w14:paraId="7CD852CB">
            <w:pPr>
              <w:pStyle w:val="58"/>
              <w:rPr>
                <w:color w:val="auto"/>
                <w:sz w:val="24"/>
                <w:szCs w:val="24"/>
                <w:highlight w:val="none"/>
              </w:rPr>
            </w:pPr>
            <w:r>
              <w:rPr>
                <w:rFonts w:hint="eastAsia"/>
                <w:color w:val="auto"/>
                <w:sz w:val="24"/>
                <w:szCs w:val="24"/>
                <w:highlight w:val="none"/>
              </w:rPr>
              <w:t>电磁辐射</w:t>
            </w:r>
          </w:p>
        </w:tc>
        <w:tc>
          <w:tcPr>
            <w:tcW w:w="1276" w:type="dxa"/>
            <w:vAlign w:val="center"/>
          </w:tcPr>
          <w:p w14:paraId="11ED2F82">
            <w:pPr>
              <w:pStyle w:val="58"/>
              <w:rPr>
                <w:color w:val="auto"/>
                <w:sz w:val="24"/>
                <w:szCs w:val="24"/>
                <w:highlight w:val="none"/>
              </w:rPr>
            </w:pPr>
            <w:r>
              <w:rPr>
                <w:color w:val="auto"/>
                <w:sz w:val="24"/>
                <w:szCs w:val="24"/>
                <w:highlight w:val="none"/>
              </w:rPr>
              <w:t>/</w:t>
            </w:r>
          </w:p>
        </w:tc>
        <w:tc>
          <w:tcPr>
            <w:tcW w:w="1417" w:type="dxa"/>
            <w:vAlign w:val="center"/>
          </w:tcPr>
          <w:p w14:paraId="53444825">
            <w:pPr>
              <w:pStyle w:val="58"/>
              <w:rPr>
                <w:color w:val="auto"/>
                <w:sz w:val="24"/>
                <w:szCs w:val="24"/>
                <w:highlight w:val="none"/>
              </w:rPr>
            </w:pPr>
            <w:r>
              <w:rPr>
                <w:color w:val="auto"/>
                <w:sz w:val="24"/>
                <w:szCs w:val="24"/>
                <w:highlight w:val="none"/>
              </w:rPr>
              <w:t>/</w:t>
            </w:r>
          </w:p>
        </w:tc>
        <w:tc>
          <w:tcPr>
            <w:tcW w:w="1985" w:type="dxa"/>
            <w:vAlign w:val="center"/>
          </w:tcPr>
          <w:p w14:paraId="7D909CF0">
            <w:pPr>
              <w:pStyle w:val="58"/>
              <w:rPr>
                <w:color w:val="auto"/>
                <w:sz w:val="24"/>
                <w:szCs w:val="24"/>
                <w:highlight w:val="none"/>
              </w:rPr>
            </w:pPr>
            <w:r>
              <w:rPr>
                <w:color w:val="auto"/>
                <w:sz w:val="24"/>
                <w:szCs w:val="24"/>
                <w:highlight w:val="none"/>
              </w:rPr>
              <w:t>/</w:t>
            </w:r>
          </w:p>
        </w:tc>
        <w:tc>
          <w:tcPr>
            <w:tcW w:w="2861" w:type="dxa"/>
            <w:vAlign w:val="center"/>
          </w:tcPr>
          <w:p w14:paraId="2FE199CD">
            <w:pPr>
              <w:pStyle w:val="58"/>
              <w:rPr>
                <w:color w:val="auto"/>
                <w:sz w:val="24"/>
                <w:szCs w:val="24"/>
                <w:highlight w:val="none"/>
              </w:rPr>
            </w:pPr>
            <w:r>
              <w:rPr>
                <w:color w:val="auto"/>
                <w:sz w:val="24"/>
                <w:szCs w:val="24"/>
                <w:highlight w:val="none"/>
              </w:rPr>
              <w:t>/</w:t>
            </w:r>
          </w:p>
        </w:tc>
      </w:tr>
      <w:tr w14:paraId="1F5E6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266" w:type="dxa"/>
            <w:vMerge w:val="restart"/>
            <w:vAlign w:val="center"/>
          </w:tcPr>
          <w:p w14:paraId="3C089841">
            <w:pPr>
              <w:pStyle w:val="58"/>
              <w:rPr>
                <w:color w:val="auto"/>
                <w:sz w:val="24"/>
                <w:szCs w:val="24"/>
                <w:highlight w:val="none"/>
              </w:rPr>
            </w:pPr>
            <w:r>
              <w:rPr>
                <w:rFonts w:hint="eastAsia"/>
                <w:color w:val="auto"/>
                <w:sz w:val="24"/>
                <w:szCs w:val="24"/>
                <w:highlight w:val="none"/>
              </w:rPr>
              <w:t>固体废物</w:t>
            </w:r>
          </w:p>
        </w:tc>
        <w:tc>
          <w:tcPr>
            <w:tcW w:w="1276" w:type="dxa"/>
            <w:vAlign w:val="center"/>
          </w:tcPr>
          <w:p w14:paraId="30C5DCA4">
            <w:pPr>
              <w:pStyle w:val="58"/>
              <w:rPr>
                <w:color w:val="auto"/>
                <w:sz w:val="24"/>
                <w:szCs w:val="24"/>
                <w:highlight w:val="none"/>
              </w:rPr>
            </w:pPr>
            <w:r>
              <w:rPr>
                <w:rFonts w:hint="eastAsia"/>
                <w:color w:val="auto"/>
                <w:sz w:val="24"/>
                <w:szCs w:val="24"/>
                <w:highlight w:val="none"/>
              </w:rPr>
              <w:t>污泥</w:t>
            </w:r>
          </w:p>
        </w:tc>
        <w:tc>
          <w:tcPr>
            <w:tcW w:w="1417" w:type="dxa"/>
            <w:vAlign w:val="center"/>
          </w:tcPr>
          <w:p w14:paraId="31AE500D">
            <w:pPr>
              <w:pStyle w:val="58"/>
              <w:rPr>
                <w:color w:val="auto"/>
                <w:sz w:val="24"/>
                <w:szCs w:val="24"/>
                <w:highlight w:val="none"/>
              </w:rPr>
            </w:pPr>
            <w:r>
              <w:rPr>
                <w:rFonts w:hint="eastAsia"/>
                <w:color w:val="auto"/>
                <w:sz w:val="24"/>
                <w:szCs w:val="24"/>
                <w:highlight w:val="none"/>
              </w:rPr>
              <w:t>污水处理</w:t>
            </w:r>
          </w:p>
        </w:tc>
        <w:tc>
          <w:tcPr>
            <w:tcW w:w="1985" w:type="dxa"/>
            <w:vAlign w:val="center"/>
          </w:tcPr>
          <w:p w14:paraId="0741DFB6">
            <w:pPr>
              <w:pStyle w:val="58"/>
              <w:rPr>
                <w:color w:val="auto"/>
                <w:sz w:val="24"/>
                <w:szCs w:val="24"/>
                <w:highlight w:val="none"/>
              </w:rPr>
            </w:pPr>
            <w:r>
              <w:rPr>
                <w:rFonts w:hint="eastAsia"/>
                <w:color w:val="auto"/>
                <w:sz w:val="24"/>
                <w:szCs w:val="24"/>
                <w:highlight w:val="none"/>
              </w:rPr>
              <w:t>外售</w:t>
            </w:r>
          </w:p>
        </w:tc>
        <w:tc>
          <w:tcPr>
            <w:tcW w:w="2861" w:type="dxa"/>
            <w:vMerge w:val="restart"/>
            <w:vAlign w:val="center"/>
          </w:tcPr>
          <w:p w14:paraId="05300C8E">
            <w:pPr>
              <w:pStyle w:val="58"/>
              <w:rPr>
                <w:color w:val="auto"/>
                <w:sz w:val="24"/>
                <w:szCs w:val="24"/>
                <w:highlight w:val="none"/>
              </w:rPr>
            </w:pPr>
            <w:r>
              <w:rPr>
                <w:rFonts w:hint="eastAsia"/>
                <w:color w:val="auto"/>
                <w:sz w:val="24"/>
                <w:szCs w:val="24"/>
                <w:highlight w:val="none"/>
              </w:rPr>
              <w:t>妥善处置，零排放。</w:t>
            </w:r>
          </w:p>
        </w:tc>
      </w:tr>
      <w:tr w14:paraId="2DDDA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266" w:type="dxa"/>
            <w:vMerge w:val="continue"/>
            <w:vAlign w:val="center"/>
          </w:tcPr>
          <w:p w14:paraId="03FC32EF">
            <w:pPr>
              <w:pStyle w:val="58"/>
              <w:rPr>
                <w:color w:val="auto"/>
                <w:sz w:val="24"/>
                <w:szCs w:val="24"/>
                <w:highlight w:val="none"/>
              </w:rPr>
            </w:pPr>
          </w:p>
        </w:tc>
        <w:tc>
          <w:tcPr>
            <w:tcW w:w="1276" w:type="dxa"/>
            <w:vAlign w:val="center"/>
          </w:tcPr>
          <w:p w14:paraId="7D3AA5C1">
            <w:pPr>
              <w:pStyle w:val="58"/>
              <w:rPr>
                <w:color w:val="auto"/>
                <w:sz w:val="24"/>
                <w:szCs w:val="24"/>
                <w:highlight w:val="none"/>
              </w:rPr>
            </w:pPr>
            <w:r>
              <w:rPr>
                <w:rFonts w:hint="eastAsia"/>
                <w:color w:val="auto"/>
                <w:sz w:val="24"/>
                <w:szCs w:val="24"/>
                <w:highlight w:val="none"/>
              </w:rPr>
              <w:t>员工日常</w:t>
            </w:r>
          </w:p>
        </w:tc>
        <w:tc>
          <w:tcPr>
            <w:tcW w:w="1417" w:type="dxa"/>
            <w:vAlign w:val="center"/>
          </w:tcPr>
          <w:p w14:paraId="4DF5E063">
            <w:pPr>
              <w:pStyle w:val="58"/>
              <w:rPr>
                <w:color w:val="auto"/>
                <w:sz w:val="24"/>
                <w:szCs w:val="21"/>
                <w:highlight w:val="none"/>
              </w:rPr>
            </w:pPr>
            <w:r>
              <w:rPr>
                <w:rFonts w:hint="eastAsia"/>
                <w:color w:val="auto"/>
                <w:sz w:val="24"/>
                <w:szCs w:val="21"/>
                <w:highlight w:val="none"/>
              </w:rPr>
              <w:t>生活垃圾</w:t>
            </w:r>
          </w:p>
        </w:tc>
        <w:tc>
          <w:tcPr>
            <w:tcW w:w="1985" w:type="dxa"/>
            <w:vAlign w:val="center"/>
          </w:tcPr>
          <w:p w14:paraId="6CAE18CB">
            <w:pPr>
              <w:pStyle w:val="58"/>
              <w:rPr>
                <w:color w:val="auto"/>
                <w:sz w:val="24"/>
                <w:szCs w:val="24"/>
                <w:highlight w:val="none"/>
              </w:rPr>
            </w:pPr>
            <w:r>
              <w:rPr>
                <w:rFonts w:hint="eastAsia"/>
                <w:color w:val="auto"/>
                <w:sz w:val="24"/>
                <w:szCs w:val="24"/>
                <w:highlight w:val="none"/>
              </w:rPr>
              <w:t>环卫处理</w:t>
            </w:r>
          </w:p>
        </w:tc>
        <w:tc>
          <w:tcPr>
            <w:tcW w:w="2861" w:type="dxa"/>
            <w:vMerge w:val="continue"/>
            <w:vAlign w:val="center"/>
          </w:tcPr>
          <w:p w14:paraId="6DFA13FC">
            <w:pPr>
              <w:pStyle w:val="58"/>
              <w:rPr>
                <w:color w:val="auto"/>
                <w:sz w:val="24"/>
                <w:szCs w:val="24"/>
                <w:highlight w:val="none"/>
              </w:rPr>
            </w:pPr>
          </w:p>
        </w:tc>
      </w:tr>
      <w:tr w14:paraId="26DE7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266" w:type="dxa"/>
            <w:vAlign w:val="center"/>
          </w:tcPr>
          <w:p w14:paraId="2C81D2C6">
            <w:pPr>
              <w:pStyle w:val="58"/>
              <w:rPr>
                <w:color w:val="auto"/>
                <w:sz w:val="24"/>
                <w:szCs w:val="24"/>
                <w:highlight w:val="none"/>
              </w:rPr>
            </w:pPr>
            <w:r>
              <w:rPr>
                <w:rFonts w:hint="eastAsia"/>
                <w:color w:val="auto"/>
                <w:sz w:val="24"/>
                <w:szCs w:val="24"/>
                <w:highlight w:val="none"/>
              </w:rPr>
              <w:t>土壤及地下水、污染防治措施</w:t>
            </w:r>
          </w:p>
        </w:tc>
        <w:tc>
          <w:tcPr>
            <w:tcW w:w="7539" w:type="dxa"/>
            <w:gridSpan w:val="4"/>
            <w:vAlign w:val="center"/>
          </w:tcPr>
          <w:p w14:paraId="0B7FBFD0">
            <w:pPr>
              <w:pStyle w:val="58"/>
              <w:rPr>
                <w:color w:val="auto"/>
                <w:sz w:val="24"/>
                <w:szCs w:val="24"/>
                <w:highlight w:val="none"/>
              </w:rPr>
            </w:pPr>
            <w:r>
              <w:rPr>
                <w:rFonts w:hint="eastAsia"/>
                <w:color w:val="auto"/>
                <w:sz w:val="24"/>
                <w:szCs w:val="24"/>
                <w:highlight w:val="none"/>
              </w:rPr>
              <w:t>在源头上采取措施进行控制，主要包括在工艺、管道、设备、废水、原料储存和危险废物暂存及处理构筑物采取相应措施，防止和降低污染物跑、冒、滴、漏，将污染物泄漏的环境风险事故降到最低程度。加强对污水管道的巡视、管理及水量监测，及时掌握水量变化以便污水渗漏时做出判断并采取相应措施，做到污染物“早发现、早处理”，减少由于埋地管道泄漏而造成的地下水、土壤污染。</w:t>
            </w:r>
          </w:p>
          <w:p w14:paraId="3EEE45C9">
            <w:pPr>
              <w:pStyle w:val="58"/>
              <w:rPr>
                <w:color w:val="auto"/>
                <w:sz w:val="24"/>
                <w:szCs w:val="24"/>
                <w:highlight w:val="none"/>
              </w:rPr>
            </w:pPr>
            <w:r>
              <w:rPr>
                <w:color w:val="auto"/>
                <w:sz w:val="24"/>
                <w:szCs w:val="24"/>
                <w:highlight w:val="none"/>
              </w:rPr>
              <w:t>本项目厂区应划分为一般防渗和简单防渗区，不同的污染物区，采取不同等级的防渗措施，并确保其可靠性和有效性。本项目各区域分区防控措施如下：</w:t>
            </w:r>
          </w:p>
          <w:p w14:paraId="55F804D6">
            <w:pPr>
              <w:pStyle w:val="58"/>
              <w:rPr>
                <w:color w:val="auto"/>
                <w:sz w:val="24"/>
                <w:szCs w:val="24"/>
                <w:highlight w:val="none"/>
              </w:rPr>
            </w:pPr>
            <w:r>
              <w:rPr>
                <w:color w:val="auto"/>
                <w:sz w:val="24"/>
                <w:szCs w:val="24"/>
                <w:highlight w:val="none"/>
              </w:rPr>
              <w:t>一般防渗区：车间、一般固废堆场等一般防渗区参照《环境影响评价技术导则 地下水环境》（HJ610-2016）中一般防渗区的防渗要求进行防渗设计，防渗性能应等效于1.5m厚渗透系数为1.0×10-7cm/s的黏土层的防渗性能。</w:t>
            </w:r>
          </w:p>
        </w:tc>
      </w:tr>
      <w:tr w14:paraId="29338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7" w:hRule="exact"/>
          <w:jc w:val="center"/>
        </w:trPr>
        <w:tc>
          <w:tcPr>
            <w:tcW w:w="1266" w:type="dxa"/>
            <w:vAlign w:val="center"/>
          </w:tcPr>
          <w:p w14:paraId="3F91FFEF">
            <w:pPr>
              <w:pStyle w:val="58"/>
              <w:rPr>
                <w:color w:val="auto"/>
                <w:sz w:val="24"/>
                <w:szCs w:val="24"/>
                <w:highlight w:val="none"/>
              </w:rPr>
            </w:pPr>
            <w:r>
              <w:rPr>
                <w:rFonts w:hint="eastAsia"/>
                <w:color w:val="auto"/>
                <w:sz w:val="24"/>
                <w:szCs w:val="24"/>
                <w:highlight w:val="none"/>
              </w:rPr>
              <w:t>生态保护措施</w:t>
            </w:r>
          </w:p>
        </w:tc>
        <w:tc>
          <w:tcPr>
            <w:tcW w:w="7539" w:type="dxa"/>
            <w:gridSpan w:val="4"/>
            <w:vAlign w:val="center"/>
          </w:tcPr>
          <w:p w14:paraId="5F144F4F">
            <w:pPr>
              <w:pStyle w:val="58"/>
              <w:rPr>
                <w:color w:val="auto"/>
                <w:sz w:val="24"/>
                <w:szCs w:val="24"/>
                <w:highlight w:val="none"/>
              </w:rPr>
            </w:pPr>
            <w:r>
              <w:rPr>
                <w:rFonts w:hint="eastAsia"/>
                <w:color w:val="auto"/>
                <w:sz w:val="24"/>
                <w:szCs w:val="24"/>
                <w:highlight w:val="none"/>
              </w:rPr>
              <w:t>本项目位于工业园区内，不新增土地和建设厂房，因此对周围生态环境影响较小。</w:t>
            </w:r>
          </w:p>
        </w:tc>
      </w:tr>
      <w:tr w14:paraId="77399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5" w:hRule="exact"/>
          <w:jc w:val="center"/>
        </w:trPr>
        <w:tc>
          <w:tcPr>
            <w:tcW w:w="1266" w:type="dxa"/>
            <w:vAlign w:val="center"/>
          </w:tcPr>
          <w:p w14:paraId="37FF22F2">
            <w:pPr>
              <w:pStyle w:val="58"/>
              <w:rPr>
                <w:color w:val="auto"/>
                <w:sz w:val="24"/>
                <w:szCs w:val="24"/>
                <w:highlight w:val="none"/>
              </w:rPr>
            </w:pPr>
            <w:r>
              <w:rPr>
                <w:rFonts w:hint="eastAsia"/>
                <w:color w:val="auto"/>
                <w:sz w:val="24"/>
                <w:szCs w:val="24"/>
                <w:highlight w:val="none"/>
              </w:rPr>
              <w:t>环境风险防范措施</w:t>
            </w:r>
          </w:p>
        </w:tc>
        <w:tc>
          <w:tcPr>
            <w:tcW w:w="7539" w:type="dxa"/>
            <w:gridSpan w:val="4"/>
            <w:vAlign w:val="center"/>
          </w:tcPr>
          <w:p w14:paraId="51EC7461">
            <w:pPr>
              <w:pStyle w:val="58"/>
              <w:rPr>
                <w:color w:val="auto"/>
                <w:sz w:val="24"/>
                <w:szCs w:val="24"/>
                <w:highlight w:val="none"/>
              </w:rPr>
            </w:pPr>
            <w:r>
              <w:rPr>
                <w:rFonts w:hint="eastAsia"/>
                <w:color w:val="auto"/>
                <w:sz w:val="24"/>
                <w:szCs w:val="24"/>
                <w:highlight w:val="none"/>
              </w:rPr>
              <w:t>包括原料贮运安全防范措施、泄漏事故的防范措施、安全生产管理系统、火灾事故应急处置措施的环境风险防范措施，制定应急预案等。</w:t>
            </w:r>
          </w:p>
        </w:tc>
      </w:tr>
      <w:tr w14:paraId="096FA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1" w:hRule="exact"/>
          <w:jc w:val="center"/>
        </w:trPr>
        <w:tc>
          <w:tcPr>
            <w:tcW w:w="1266" w:type="dxa"/>
            <w:vAlign w:val="center"/>
          </w:tcPr>
          <w:p w14:paraId="78867353">
            <w:pPr>
              <w:pStyle w:val="58"/>
              <w:rPr>
                <w:color w:val="auto"/>
                <w:sz w:val="24"/>
                <w:szCs w:val="24"/>
                <w:highlight w:val="none"/>
              </w:rPr>
            </w:pPr>
            <w:r>
              <w:rPr>
                <w:rFonts w:hint="eastAsia"/>
                <w:color w:val="auto"/>
                <w:sz w:val="24"/>
                <w:szCs w:val="24"/>
                <w:highlight w:val="none"/>
              </w:rPr>
              <w:t>其他环境</w:t>
            </w:r>
          </w:p>
          <w:p w14:paraId="5903413E">
            <w:pPr>
              <w:pStyle w:val="58"/>
              <w:rPr>
                <w:color w:val="auto"/>
                <w:sz w:val="24"/>
                <w:szCs w:val="24"/>
                <w:highlight w:val="none"/>
              </w:rPr>
            </w:pPr>
            <w:r>
              <w:rPr>
                <w:rFonts w:hint="eastAsia"/>
                <w:color w:val="auto"/>
                <w:sz w:val="24"/>
                <w:szCs w:val="24"/>
                <w:highlight w:val="none"/>
              </w:rPr>
              <w:t>管理要求</w:t>
            </w:r>
          </w:p>
        </w:tc>
        <w:tc>
          <w:tcPr>
            <w:tcW w:w="7539" w:type="dxa"/>
            <w:gridSpan w:val="4"/>
            <w:vAlign w:val="center"/>
          </w:tcPr>
          <w:p w14:paraId="6CEADEBB">
            <w:pPr>
              <w:pStyle w:val="58"/>
              <w:rPr>
                <w:color w:val="auto"/>
                <w:sz w:val="24"/>
                <w:szCs w:val="24"/>
                <w:highlight w:val="none"/>
              </w:rPr>
            </w:pPr>
            <w:r>
              <w:rPr>
                <w:rFonts w:hint="eastAsia"/>
                <w:color w:val="auto"/>
                <w:sz w:val="24"/>
                <w:szCs w:val="24"/>
                <w:highlight w:val="none"/>
              </w:rPr>
              <w:t>全厂对照《固定污染源排污许可分类管理名录》，属于“二十五、非金属矿物制品业30 66玻璃制品制造305”中“其他”，属于登记管理，因此本项目执行登记管理。建设单位需加强环境管理，建立一套完善的环保监督、管理制度，包括原辅材料储运管理制度、水电能源节能降耗制度、污染防治措施维护管理制度、排污许可制度、信息公开制度等。切实落实各项环保治理措施，并保证正常运行，确保各项污染物达标排放。</w:t>
            </w:r>
          </w:p>
        </w:tc>
      </w:tr>
    </w:tbl>
    <w:p w14:paraId="1C1D2D30">
      <w:pPr>
        <w:pStyle w:val="23"/>
        <w:rPr>
          <w:snapToGrid w:val="0"/>
          <w:color w:val="auto"/>
          <w:highlight w:val="none"/>
        </w:rPr>
        <w:sectPr>
          <w:footerReference r:id="rId5" w:type="default"/>
          <w:pgSz w:w="11906" w:h="16838"/>
          <w:pgMar w:top="1440" w:right="1800" w:bottom="1440" w:left="1800" w:header="851" w:footer="992" w:gutter="0"/>
          <w:pgNumType w:fmt="numberInDash"/>
          <w:cols w:space="720" w:num="1"/>
          <w:docGrid w:type="lines" w:linePitch="326" w:charSpace="0"/>
        </w:sectPr>
      </w:pPr>
    </w:p>
    <w:p w14:paraId="265B39A5">
      <w:pPr>
        <w:pStyle w:val="23"/>
        <w:rPr>
          <w:snapToGrid w:val="0"/>
          <w:color w:val="auto"/>
          <w:highlight w:val="none"/>
        </w:rPr>
      </w:pPr>
      <w:r>
        <w:rPr>
          <w:rFonts w:hint="eastAsia"/>
          <w:snapToGrid w:val="0"/>
          <w:color w:val="auto"/>
          <w:highlight w:val="none"/>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6165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14BF330E">
            <w:pPr>
              <w:pStyle w:val="56"/>
              <w:ind w:firstLine="496"/>
              <w:rPr>
                <w:color w:val="auto"/>
                <w:highlight w:val="none"/>
              </w:rPr>
            </w:pPr>
            <w:r>
              <w:rPr>
                <w:rFonts w:hint="eastAsia"/>
                <w:color w:val="auto"/>
                <w:highlight w:val="none"/>
              </w:rPr>
              <w:t>综上所述，本项目符合相关产业政策，符合规划，选址合理，针对污染物产生特点，采取了有效的防治措施，使污染物达标排放，故对周围环境的影响较小；总量可在厂内平衡；因此本报告认为，从环保角度而言，该项目的建设是可行的。</w:t>
            </w:r>
          </w:p>
        </w:tc>
      </w:tr>
    </w:tbl>
    <w:p w14:paraId="2234659D">
      <w:pPr>
        <w:pStyle w:val="2"/>
        <w:rPr>
          <w:color w:val="auto"/>
          <w:highlight w:val="none"/>
        </w:rPr>
      </w:pPr>
    </w:p>
    <w:p w14:paraId="40566B7F">
      <w:pPr>
        <w:rPr>
          <w:color w:val="auto"/>
          <w:highlight w:val="none"/>
        </w:rPr>
      </w:pPr>
    </w:p>
    <w:sectPr>
      <w:footerReference r:id="rId6"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7FFAEFF" w:usb1="F9DFFFFF" w:usb2="0000007F" w:usb3="00000000" w:csb0="203F01FF" w:csb1="DFFF0000"/>
  </w:font>
  <w:font w:name="仿宋体">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4645">
    <w:pPr>
      <w:pStyle w:val="16"/>
      <w:jc w:val="right"/>
    </w:pPr>
    <w:r>
      <w:fldChar w:fldCharType="begin"/>
    </w:r>
    <w:r>
      <w:instrText xml:space="preserve">PAGE   \* MERGEFORMAT</w:instrText>
    </w:r>
    <w:r>
      <w:fldChar w:fldCharType="separate"/>
    </w:r>
    <w:r>
      <w:rPr>
        <w:lang w:val="zh-CN"/>
      </w:rPr>
      <w:t>-</w:t>
    </w:r>
    <w:r>
      <w:t xml:space="preserve"> 60 -</w:t>
    </w:r>
    <w:r>
      <w:fldChar w:fldCharType="end"/>
    </w:r>
  </w:p>
  <w:p w14:paraId="44DBA4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C311">
    <w:pPr>
      <w:pStyle w:val="16"/>
    </w:pPr>
    <w:r>
      <w:fldChar w:fldCharType="begin"/>
    </w:r>
    <w:r>
      <w:instrText xml:space="preserve">PAGE   \* MERGEFORMAT</w:instrText>
    </w:r>
    <w:r>
      <w:fldChar w:fldCharType="separate"/>
    </w:r>
    <w:r>
      <w:rPr>
        <w:lang w:val="zh-CN"/>
      </w:rPr>
      <w:t>-</w:t>
    </w:r>
    <w:r>
      <w:t xml:space="preserve"> 20 -</w:t>
    </w:r>
    <w:r>
      <w:fldChar w:fldCharType="end"/>
    </w:r>
  </w:p>
  <w:p w14:paraId="47B00AD0">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4665">
    <w:pPr>
      <w:pStyle w:val="16"/>
      <w:jc w:val="right"/>
    </w:pPr>
    <w:r>
      <w:fldChar w:fldCharType="begin"/>
    </w:r>
    <w:r>
      <w:instrText xml:space="preserve">PAGE   \* MERGEFORMAT</w:instrText>
    </w:r>
    <w:r>
      <w:fldChar w:fldCharType="separate"/>
    </w:r>
    <w:r>
      <w:rPr>
        <w:lang w:val="zh-CN"/>
      </w:rPr>
      <w:t>-</w:t>
    </w:r>
    <w:r>
      <w:t xml:space="preserve"> 86 -</w:t>
    </w:r>
    <w:r>
      <w:fldChar w:fldCharType="end"/>
    </w:r>
  </w:p>
  <w:p w14:paraId="20615627">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82F2">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B7753"/>
    <w:multiLevelType w:val="singleLevel"/>
    <w:tmpl w:val="CCDB7753"/>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CF5"/>
    <w:rsid w:val="00004040"/>
    <w:rsid w:val="0000684D"/>
    <w:rsid w:val="0000742B"/>
    <w:rsid w:val="000105EB"/>
    <w:rsid w:val="000113C6"/>
    <w:rsid w:val="00021CE9"/>
    <w:rsid w:val="00026CE8"/>
    <w:rsid w:val="000302A6"/>
    <w:rsid w:val="00032E81"/>
    <w:rsid w:val="0003605C"/>
    <w:rsid w:val="00040301"/>
    <w:rsid w:val="00041415"/>
    <w:rsid w:val="00041C55"/>
    <w:rsid w:val="000523ED"/>
    <w:rsid w:val="00055342"/>
    <w:rsid w:val="00055DDD"/>
    <w:rsid w:val="00056DB0"/>
    <w:rsid w:val="00067E88"/>
    <w:rsid w:val="00077772"/>
    <w:rsid w:val="00077D87"/>
    <w:rsid w:val="000826C8"/>
    <w:rsid w:val="00082C79"/>
    <w:rsid w:val="00085682"/>
    <w:rsid w:val="00086D4B"/>
    <w:rsid w:val="00091BCC"/>
    <w:rsid w:val="00092B3C"/>
    <w:rsid w:val="000A0199"/>
    <w:rsid w:val="000A08D9"/>
    <w:rsid w:val="000A3F89"/>
    <w:rsid w:val="000A7549"/>
    <w:rsid w:val="000B10E7"/>
    <w:rsid w:val="000B5D23"/>
    <w:rsid w:val="000B6557"/>
    <w:rsid w:val="000B78BF"/>
    <w:rsid w:val="000C1CA8"/>
    <w:rsid w:val="000C2A42"/>
    <w:rsid w:val="000C3FDE"/>
    <w:rsid w:val="000D26FF"/>
    <w:rsid w:val="000D2BA1"/>
    <w:rsid w:val="000D5428"/>
    <w:rsid w:val="000F549E"/>
    <w:rsid w:val="000F5A50"/>
    <w:rsid w:val="000F6D97"/>
    <w:rsid w:val="000F7249"/>
    <w:rsid w:val="001012BE"/>
    <w:rsid w:val="00104A69"/>
    <w:rsid w:val="001076E4"/>
    <w:rsid w:val="00112C68"/>
    <w:rsid w:val="00120EA2"/>
    <w:rsid w:val="001227D4"/>
    <w:rsid w:val="00123301"/>
    <w:rsid w:val="00125BC3"/>
    <w:rsid w:val="00126AB2"/>
    <w:rsid w:val="00126B22"/>
    <w:rsid w:val="001272A8"/>
    <w:rsid w:val="00131987"/>
    <w:rsid w:val="00131F4E"/>
    <w:rsid w:val="00133B19"/>
    <w:rsid w:val="001341B4"/>
    <w:rsid w:val="00137657"/>
    <w:rsid w:val="00142873"/>
    <w:rsid w:val="00146CDF"/>
    <w:rsid w:val="00147090"/>
    <w:rsid w:val="0015165A"/>
    <w:rsid w:val="00151940"/>
    <w:rsid w:val="00151A04"/>
    <w:rsid w:val="00154834"/>
    <w:rsid w:val="00164AF2"/>
    <w:rsid w:val="00166735"/>
    <w:rsid w:val="00171144"/>
    <w:rsid w:val="0017136C"/>
    <w:rsid w:val="00172A27"/>
    <w:rsid w:val="0019383A"/>
    <w:rsid w:val="001A65DE"/>
    <w:rsid w:val="001B0F4A"/>
    <w:rsid w:val="001B0FC6"/>
    <w:rsid w:val="001B156A"/>
    <w:rsid w:val="001B6C88"/>
    <w:rsid w:val="001C2A20"/>
    <w:rsid w:val="001C5F43"/>
    <w:rsid w:val="001D02CA"/>
    <w:rsid w:val="001D350A"/>
    <w:rsid w:val="001D520D"/>
    <w:rsid w:val="001E4BEA"/>
    <w:rsid w:val="001E51B5"/>
    <w:rsid w:val="001E633D"/>
    <w:rsid w:val="001E6453"/>
    <w:rsid w:val="001E6655"/>
    <w:rsid w:val="001E7578"/>
    <w:rsid w:val="001F2F75"/>
    <w:rsid w:val="001F4066"/>
    <w:rsid w:val="00201EA9"/>
    <w:rsid w:val="002032E0"/>
    <w:rsid w:val="002057C7"/>
    <w:rsid w:val="002158CA"/>
    <w:rsid w:val="002165C2"/>
    <w:rsid w:val="0021712F"/>
    <w:rsid w:val="002208BD"/>
    <w:rsid w:val="00220A24"/>
    <w:rsid w:val="00220C1E"/>
    <w:rsid w:val="00222114"/>
    <w:rsid w:val="0022441F"/>
    <w:rsid w:val="0022467D"/>
    <w:rsid w:val="00224FF0"/>
    <w:rsid w:val="002307F7"/>
    <w:rsid w:val="00240471"/>
    <w:rsid w:val="00240D53"/>
    <w:rsid w:val="00243C81"/>
    <w:rsid w:val="002465A4"/>
    <w:rsid w:val="002509F3"/>
    <w:rsid w:val="00250B12"/>
    <w:rsid w:val="002555C9"/>
    <w:rsid w:val="00257151"/>
    <w:rsid w:val="00260DFC"/>
    <w:rsid w:val="002612E3"/>
    <w:rsid w:val="00262D99"/>
    <w:rsid w:val="00272A9B"/>
    <w:rsid w:val="002746F9"/>
    <w:rsid w:val="0028214B"/>
    <w:rsid w:val="0028347B"/>
    <w:rsid w:val="002855BA"/>
    <w:rsid w:val="00286458"/>
    <w:rsid w:val="002906F9"/>
    <w:rsid w:val="00295150"/>
    <w:rsid w:val="00296515"/>
    <w:rsid w:val="002A700D"/>
    <w:rsid w:val="002B1CFC"/>
    <w:rsid w:val="002B400F"/>
    <w:rsid w:val="002C08D0"/>
    <w:rsid w:val="002C1859"/>
    <w:rsid w:val="002C5768"/>
    <w:rsid w:val="002D2221"/>
    <w:rsid w:val="002D5BCB"/>
    <w:rsid w:val="002E0939"/>
    <w:rsid w:val="002E13F7"/>
    <w:rsid w:val="002E35DE"/>
    <w:rsid w:val="002E4D0B"/>
    <w:rsid w:val="002E7AAF"/>
    <w:rsid w:val="002F0A5E"/>
    <w:rsid w:val="002F376F"/>
    <w:rsid w:val="002F5A78"/>
    <w:rsid w:val="003116FF"/>
    <w:rsid w:val="00313400"/>
    <w:rsid w:val="00315AA5"/>
    <w:rsid w:val="00315CEA"/>
    <w:rsid w:val="003175CA"/>
    <w:rsid w:val="0032378B"/>
    <w:rsid w:val="00325819"/>
    <w:rsid w:val="00331156"/>
    <w:rsid w:val="00332BC0"/>
    <w:rsid w:val="00334511"/>
    <w:rsid w:val="00335449"/>
    <w:rsid w:val="00341824"/>
    <w:rsid w:val="0034212E"/>
    <w:rsid w:val="00344FB8"/>
    <w:rsid w:val="00346205"/>
    <w:rsid w:val="0035157B"/>
    <w:rsid w:val="00351731"/>
    <w:rsid w:val="00351FC4"/>
    <w:rsid w:val="003524A7"/>
    <w:rsid w:val="003548F8"/>
    <w:rsid w:val="00354C26"/>
    <w:rsid w:val="0036450B"/>
    <w:rsid w:val="00367ADE"/>
    <w:rsid w:val="00370645"/>
    <w:rsid w:val="00370A9A"/>
    <w:rsid w:val="003816EE"/>
    <w:rsid w:val="00383AAA"/>
    <w:rsid w:val="0038620D"/>
    <w:rsid w:val="00386A01"/>
    <w:rsid w:val="00387185"/>
    <w:rsid w:val="00392322"/>
    <w:rsid w:val="00394285"/>
    <w:rsid w:val="00396266"/>
    <w:rsid w:val="003A37AA"/>
    <w:rsid w:val="003B02DC"/>
    <w:rsid w:val="003B2266"/>
    <w:rsid w:val="003B3BF8"/>
    <w:rsid w:val="003B497A"/>
    <w:rsid w:val="003B4D19"/>
    <w:rsid w:val="003B6DD4"/>
    <w:rsid w:val="003B73BD"/>
    <w:rsid w:val="003D28FF"/>
    <w:rsid w:val="003D3A8F"/>
    <w:rsid w:val="003D3E11"/>
    <w:rsid w:val="003D79A7"/>
    <w:rsid w:val="003E04CF"/>
    <w:rsid w:val="003E1F88"/>
    <w:rsid w:val="003E5A33"/>
    <w:rsid w:val="003F1245"/>
    <w:rsid w:val="003F7CF7"/>
    <w:rsid w:val="004050F2"/>
    <w:rsid w:val="00406242"/>
    <w:rsid w:val="004156C4"/>
    <w:rsid w:val="00415CA9"/>
    <w:rsid w:val="0042157B"/>
    <w:rsid w:val="0042170F"/>
    <w:rsid w:val="00424943"/>
    <w:rsid w:val="004254F4"/>
    <w:rsid w:val="0043355A"/>
    <w:rsid w:val="004352EE"/>
    <w:rsid w:val="00451D17"/>
    <w:rsid w:val="00454672"/>
    <w:rsid w:val="00455DBC"/>
    <w:rsid w:val="00461AB2"/>
    <w:rsid w:val="004636DE"/>
    <w:rsid w:val="00471995"/>
    <w:rsid w:val="00474C44"/>
    <w:rsid w:val="00475A1E"/>
    <w:rsid w:val="004773E9"/>
    <w:rsid w:val="0048349E"/>
    <w:rsid w:val="004878AF"/>
    <w:rsid w:val="00492CC6"/>
    <w:rsid w:val="0049633A"/>
    <w:rsid w:val="00497B2E"/>
    <w:rsid w:val="004A22D7"/>
    <w:rsid w:val="004A4BCB"/>
    <w:rsid w:val="004C503D"/>
    <w:rsid w:val="004D1E3B"/>
    <w:rsid w:val="004D2E9D"/>
    <w:rsid w:val="004D538E"/>
    <w:rsid w:val="004D5CA3"/>
    <w:rsid w:val="004D6048"/>
    <w:rsid w:val="004D71A5"/>
    <w:rsid w:val="004E145E"/>
    <w:rsid w:val="004E1592"/>
    <w:rsid w:val="004E2BD8"/>
    <w:rsid w:val="004E36F3"/>
    <w:rsid w:val="004F4062"/>
    <w:rsid w:val="004F7F00"/>
    <w:rsid w:val="00500336"/>
    <w:rsid w:val="00510009"/>
    <w:rsid w:val="00515DED"/>
    <w:rsid w:val="00516D4D"/>
    <w:rsid w:val="005171F4"/>
    <w:rsid w:val="00517961"/>
    <w:rsid w:val="00521780"/>
    <w:rsid w:val="0052295F"/>
    <w:rsid w:val="005243D6"/>
    <w:rsid w:val="005266DA"/>
    <w:rsid w:val="00530435"/>
    <w:rsid w:val="0053199B"/>
    <w:rsid w:val="00537717"/>
    <w:rsid w:val="0054228C"/>
    <w:rsid w:val="00546EC5"/>
    <w:rsid w:val="00547F1D"/>
    <w:rsid w:val="00550870"/>
    <w:rsid w:val="00551BD8"/>
    <w:rsid w:val="005646BE"/>
    <w:rsid w:val="0056758B"/>
    <w:rsid w:val="00570605"/>
    <w:rsid w:val="00582A48"/>
    <w:rsid w:val="00587EEF"/>
    <w:rsid w:val="005A1181"/>
    <w:rsid w:val="005A2500"/>
    <w:rsid w:val="005A31E6"/>
    <w:rsid w:val="005A425C"/>
    <w:rsid w:val="005A4F12"/>
    <w:rsid w:val="005B0663"/>
    <w:rsid w:val="005B2662"/>
    <w:rsid w:val="005B2A2D"/>
    <w:rsid w:val="005C0E09"/>
    <w:rsid w:val="005C248C"/>
    <w:rsid w:val="005C32A9"/>
    <w:rsid w:val="005C7609"/>
    <w:rsid w:val="005E4B95"/>
    <w:rsid w:val="005E7D2D"/>
    <w:rsid w:val="005F0BCC"/>
    <w:rsid w:val="005F186F"/>
    <w:rsid w:val="005F22A1"/>
    <w:rsid w:val="0060372B"/>
    <w:rsid w:val="00605244"/>
    <w:rsid w:val="00614F8E"/>
    <w:rsid w:val="00615651"/>
    <w:rsid w:val="00621514"/>
    <w:rsid w:val="00622198"/>
    <w:rsid w:val="00624C49"/>
    <w:rsid w:val="0062579C"/>
    <w:rsid w:val="00632522"/>
    <w:rsid w:val="006326C3"/>
    <w:rsid w:val="0063766D"/>
    <w:rsid w:val="00643593"/>
    <w:rsid w:val="0064370D"/>
    <w:rsid w:val="00644A8A"/>
    <w:rsid w:val="00646683"/>
    <w:rsid w:val="00647AB4"/>
    <w:rsid w:val="0065063E"/>
    <w:rsid w:val="00651CD8"/>
    <w:rsid w:val="006549FF"/>
    <w:rsid w:val="006556B7"/>
    <w:rsid w:val="00663014"/>
    <w:rsid w:val="00665F12"/>
    <w:rsid w:val="00670375"/>
    <w:rsid w:val="00671ADC"/>
    <w:rsid w:val="00675D20"/>
    <w:rsid w:val="006771EB"/>
    <w:rsid w:val="006776E7"/>
    <w:rsid w:val="00677F74"/>
    <w:rsid w:val="00692D2E"/>
    <w:rsid w:val="00694EAC"/>
    <w:rsid w:val="0069567D"/>
    <w:rsid w:val="006A0E7D"/>
    <w:rsid w:val="006A2D16"/>
    <w:rsid w:val="006A337B"/>
    <w:rsid w:val="006A3567"/>
    <w:rsid w:val="006A4798"/>
    <w:rsid w:val="006A523A"/>
    <w:rsid w:val="006A524D"/>
    <w:rsid w:val="006B2D28"/>
    <w:rsid w:val="006B43A8"/>
    <w:rsid w:val="006B6C92"/>
    <w:rsid w:val="006D3787"/>
    <w:rsid w:val="006D4108"/>
    <w:rsid w:val="006D70B7"/>
    <w:rsid w:val="006E2710"/>
    <w:rsid w:val="006F29D4"/>
    <w:rsid w:val="006F30ED"/>
    <w:rsid w:val="006F6721"/>
    <w:rsid w:val="0070049A"/>
    <w:rsid w:val="00702B3D"/>
    <w:rsid w:val="007055BC"/>
    <w:rsid w:val="00710238"/>
    <w:rsid w:val="00710C01"/>
    <w:rsid w:val="007122DF"/>
    <w:rsid w:val="007129B5"/>
    <w:rsid w:val="007142E4"/>
    <w:rsid w:val="00717DD2"/>
    <w:rsid w:val="00727776"/>
    <w:rsid w:val="00730548"/>
    <w:rsid w:val="00731F5A"/>
    <w:rsid w:val="007405F9"/>
    <w:rsid w:val="00741330"/>
    <w:rsid w:val="007434A2"/>
    <w:rsid w:val="00751A16"/>
    <w:rsid w:val="00753851"/>
    <w:rsid w:val="00756042"/>
    <w:rsid w:val="0076095C"/>
    <w:rsid w:val="00764FD3"/>
    <w:rsid w:val="00770C90"/>
    <w:rsid w:val="007754BC"/>
    <w:rsid w:val="007923C2"/>
    <w:rsid w:val="007945C9"/>
    <w:rsid w:val="00795CA2"/>
    <w:rsid w:val="00797AB9"/>
    <w:rsid w:val="007A5424"/>
    <w:rsid w:val="007A5868"/>
    <w:rsid w:val="007A5BA7"/>
    <w:rsid w:val="007A6160"/>
    <w:rsid w:val="007A7391"/>
    <w:rsid w:val="007B00BB"/>
    <w:rsid w:val="007B1EAD"/>
    <w:rsid w:val="007B6DF9"/>
    <w:rsid w:val="007C6B0C"/>
    <w:rsid w:val="007C7B96"/>
    <w:rsid w:val="007D24B0"/>
    <w:rsid w:val="007D2947"/>
    <w:rsid w:val="007D2B86"/>
    <w:rsid w:val="007D33AD"/>
    <w:rsid w:val="007D4BA5"/>
    <w:rsid w:val="007D7B1F"/>
    <w:rsid w:val="007E1A56"/>
    <w:rsid w:val="007E2C03"/>
    <w:rsid w:val="007E4721"/>
    <w:rsid w:val="007E745B"/>
    <w:rsid w:val="007F17A8"/>
    <w:rsid w:val="007F2150"/>
    <w:rsid w:val="007F32F7"/>
    <w:rsid w:val="007F6497"/>
    <w:rsid w:val="007F73CA"/>
    <w:rsid w:val="007F7C53"/>
    <w:rsid w:val="00800249"/>
    <w:rsid w:val="00803843"/>
    <w:rsid w:val="00804102"/>
    <w:rsid w:val="00805142"/>
    <w:rsid w:val="008056B1"/>
    <w:rsid w:val="00805B43"/>
    <w:rsid w:val="008066E4"/>
    <w:rsid w:val="0081426A"/>
    <w:rsid w:val="0081488E"/>
    <w:rsid w:val="00821055"/>
    <w:rsid w:val="008461D7"/>
    <w:rsid w:val="00850B9B"/>
    <w:rsid w:val="00852687"/>
    <w:rsid w:val="0085613E"/>
    <w:rsid w:val="00860C44"/>
    <w:rsid w:val="00861D1D"/>
    <w:rsid w:val="00862869"/>
    <w:rsid w:val="00863FAD"/>
    <w:rsid w:val="008661EC"/>
    <w:rsid w:val="008677AC"/>
    <w:rsid w:val="00873A26"/>
    <w:rsid w:val="0087604A"/>
    <w:rsid w:val="00876C40"/>
    <w:rsid w:val="00880487"/>
    <w:rsid w:val="00881209"/>
    <w:rsid w:val="0089163D"/>
    <w:rsid w:val="008918DD"/>
    <w:rsid w:val="008968E0"/>
    <w:rsid w:val="008A0BEA"/>
    <w:rsid w:val="008A15C3"/>
    <w:rsid w:val="008C3584"/>
    <w:rsid w:val="008C5723"/>
    <w:rsid w:val="008C73DA"/>
    <w:rsid w:val="008C7A7E"/>
    <w:rsid w:val="008D4F6B"/>
    <w:rsid w:val="008D5B5D"/>
    <w:rsid w:val="008E0275"/>
    <w:rsid w:val="008E292A"/>
    <w:rsid w:val="008E42ED"/>
    <w:rsid w:val="008E6B2D"/>
    <w:rsid w:val="008F4328"/>
    <w:rsid w:val="008F5FC0"/>
    <w:rsid w:val="008F7015"/>
    <w:rsid w:val="009000F0"/>
    <w:rsid w:val="00902435"/>
    <w:rsid w:val="00902591"/>
    <w:rsid w:val="00907800"/>
    <w:rsid w:val="00910206"/>
    <w:rsid w:val="0091080A"/>
    <w:rsid w:val="009119D2"/>
    <w:rsid w:val="00911E24"/>
    <w:rsid w:val="00913375"/>
    <w:rsid w:val="00914508"/>
    <w:rsid w:val="0091453D"/>
    <w:rsid w:val="009162FD"/>
    <w:rsid w:val="0091784D"/>
    <w:rsid w:val="00924B9B"/>
    <w:rsid w:val="0092576F"/>
    <w:rsid w:val="00936264"/>
    <w:rsid w:val="00941F9E"/>
    <w:rsid w:val="0094352D"/>
    <w:rsid w:val="00945547"/>
    <w:rsid w:val="009475E5"/>
    <w:rsid w:val="00954177"/>
    <w:rsid w:val="009651D3"/>
    <w:rsid w:val="009662C0"/>
    <w:rsid w:val="00967829"/>
    <w:rsid w:val="00970627"/>
    <w:rsid w:val="00972B72"/>
    <w:rsid w:val="009730FB"/>
    <w:rsid w:val="00974B80"/>
    <w:rsid w:val="00977CF3"/>
    <w:rsid w:val="00980441"/>
    <w:rsid w:val="00984D2C"/>
    <w:rsid w:val="00985234"/>
    <w:rsid w:val="00986253"/>
    <w:rsid w:val="009917FC"/>
    <w:rsid w:val="00993010"/>
    <w:rsid w:val="00993FBB"/>
    <w:rsid w:val="00994131"/>
    <w:rsid w:val="0099549B"/>
    <w:rsid w:val="009A0497"/>
    <w:rsid w:val="009A1CA2"/>
    <w:rsid w:val="009A3632"/>
    <w:rsid w:val="009A5728"/>
    <w:rsid w:val="009B4240"/>
    <w:rsid w:val="009C509A"/>
    <w:rsid w:val="009C7970"/>
    <w:rsid w:val="009D0ADE"/>
    <w:rsid w:val="009E1F27"/>
    <w:rsid w:val="009F37AF"/>
    <w:rsid w:val="009F4687"/>
    <w:rsid w:val="00A02BA0"/>
    <w:rsid w:val="00A1433F"/>
    <w:rsid w:val="00A224C2"/>
    <w:rsid w:val="00A249E2"/>
    <w:rsid w:val="00A26B2E"/>
    <w:rsid w:val="00A3136D"/>
    <w:rsid w:val="00A35032"/>
    <w:rsid w:val="00A3547F"/>
    <w:rsid w:val="00A35AF4"/>
    <w:rsid w:val="00A376C0"/>
    <w:rsid w:val="00A41471"/>
    <w:rsid w:val="00A44EE5"/>
    <w:rsid w:val="00A472E9"/>
    <w:rsid w:val="00A5039A"/>
    <w:rsid w:val="00A52782"/>
    <w:rsid w:val="00A56133"/>
    <w:rsid w:val="00A600C1"/>
    <w:rsid w:val="00A60617"/>
    <w:rsid w:val="00A67D68"/>
    <w:rsid w:val="00A72343"/>
    <w:rsid w:val="00A75D2F"/>
    <w:rsid w:val="00A76EF8"/>
    <w:rsid w:val="00A81DD4"/>
    <w:rsid w:val="00A84189"/>
    <w:rsid w:val="00A84A43"/>
    <w:rsid w:val="00A90CF4"/>
    <w:rsid w:val="00A91109"/>
    <w:rsid w:val="00A96861"/>
    <w:rsid w:val="00AB07E8"/>
    <w:rsid w:val="00AB3991"/>
    <w:rsid w:val="00AB4A40"/>
    <w:rsid w:val="00AB7297"/>
    <w:rsid w:val="00AC3923"/>
    <w:rsid w:val="00AC43E1"/>
    <w:rsid w:val="00AC6826"/>
    <w:rsid w:val="00AC6D47"/>
    <w:rsid w:val="00AC7D4B"/>
    <w:rsid w:val="00AD3680"/>
    <w:rsid w:val="00AE0B88"/>
    <w:rsid w:val="00AE6063"/>
    <w:rsid w:val="00AF0F0C"/>
    <w:rsid w:val="00AF3006"/>
    <w:rsid w:val="00AF3F4D"/>
    <w:rsid w:val="00B006BB"/>
    <w:rsid w:val="00B02C70"/>
    <w:rsid w:val="00B04A4E"/>
    <w:rsid w:val="00B05CCD"/>
    <w:rsid w:val="00B07065"/>
    <w:rsid w:val="00B10269"/>
    <w:rsid w:val="00B10D4C"/>
    <w:rsid w:val="00B13BAD"/>
    <w:rsid w:val="00B21BE5"/>
    <w:rsid w:val="00B233B0"/>
    <w:rsid w:val="00B23BFA"/>
    <w:rsid w:val="00B26373"/>
    <w:rsid w:val="00B3256B"/>
    <w:rsid w:val="00B404D1"/>
    <w:rsid w:val="00B404F9"/>
    <w:rsid w:val="00B42332"/>
    <w:rsid w:val="00B43983"/>
    <w:rsid w:val="00B51CB0"/>
    <w:rsid w:val="00B524BE"/>
    <w:rsid w:val="00B531C2"/>
    <w:rsid w:val="00B53BA6"/>
    <w:rsid w:val="00B541B0"/>
    <w:rsid w:val="00B56A84"/>
    <w:rsid w:val="00B61D4A"/>
    <w:rsid w:val="00B667F9"/>
    <w:rsid w:val="00B7688A"/>
    <w:rsid w:val="00B76DED"/>
    <w:rsid w:val="00B77F7A"/>
    <w:rsid w:val="00B820D1"/>
    <w:rsid w:val="00B82401"/>
    <w:rsid w:val="00B836FA"/>
    <w:rsid w:val="00B84542"/>
    <w:rsid w:val="00B955BB"/>
    <w:rsid w:val="00BA0CD0"/>
    <w:rsid w:val="00BA179E"/>
    <w:rsid w:val="00BA652C"/>
    <w:rsid w:val="00BB006B"/>
    <w:rsid w:val="00BB1077"/>
    <w:rsid w:val="00BB5C71"/>
    <w:rsid w:val="00BC1A60"/>
    <w:rsid w:val="00BC1E62"/>
    <w:rsid w:val="00BC6DB7"/>
    <w:rsid w:val="00BD2F9E"/>
    <w:rsid w:val="00BD6453"/>
    <w:rsid w:val="00BE33AC"/>
    <w:rsid w:val="00BE3626"/>
    <w:rsid w:val="00BE6A1A"/>
    <w:rsid w:val="00BF1B44"/>
    <w:rsid w:val="00C03B31"/>
    <w:rsid w:val="00C048AD"/>
    <w:rsid w:val="00C068B4"/>
    <w:rsid w:val="00C10D12"/>
    <w:rsid w:val="00C156D5"/>
    <w:rsid w:val="00C16DD0"/>
    <w:rsid w:val="00C20A0C"/>
    <w:rsid w:val="00C2171A"/>
    <w:rsid w:val="00C21DF6"/>
    <w:rsid w:val="00C2291F"/>
    <w:rsid w:val="00C247C2"/>
    <w:rsid w:val="00C30156"/>
    <w:rsid w:val="00C31209"/>
    <w:rsid w:val="00C31E8A"/>
    <w:rsid w:val="00C32BD6"/>
    <w:rsid w:val="00C3559F"/>
    <w:rsid w:val="00C363DD"/>
    <w:rsid w:val="00C44549"/>
    <w:rsid w:val="00C45BD9"/>
    <w:rsid w:val="00C52781"/>
    <w:rsid w:val="00C5618D"/>
    <w:rsid w:val="00C568EB"/>
    <w:rsid w:val="00C57B39"/>
    <w:rsid w:val="00C61879"/>
    <w:rsid w:val="00C66436"/>
    <w:rsid w:val="00C66F55"/>
    <w:rsid w:val="00C76668"/>
    <w:rsid w:val="00C81897"/>
    <w:rsid w:val="00C85366"/>
    <w:rsid w:val="00C9209E"/>
    <w:rsid w:val="00C971C1"/>
    <w:rsid w:val="00CA7B6C"/>
    <w:rsid w:val="00CC4589"/>
    <w:rsid w:val="00CC74DD"/>
    <w:rsid w:val="00CC7538"/>
    <w:rsid w:val="00CD0CAA"/>
    <w:rsid w:val="00CD2AED"/>
    <w:rsid w:val="00CE0AFF"/>
    <w:rsid w:val="00CE7E4E"/>
    <w:rsid w:val="00CF02B6"/>
    <w:rsid w:val="00CF38D4"/>
    <w:rsid w:val="00D03380"/>
    <w:rsid w:val="00D0616D"/>
    <w:rsid w:val="00D06860"/>
    <w:rsid w:val="00D06D84"/>
    <w:rsid w:val="00D13B96"/>
    <w:rsid w:val="00D20B34"/>
    <w:rsid w:val="00D25A47"/>
    <w:rsid w:val="00D25E5F"/>
    <w:rsid w:val="00D33441"/>
    <w:rsid w:val="00D3735E"/>
    <w:rsid w:val="00D42E82"/>
    <w:rsid w:val="00D45596"/>
    <w:rsid w:val="00D456B2"/>
    <w:rsid w:val="00D463D3"/>
    <w:rsid w:val="00D54F03"/>
    <w:rsid w:val="00D55F60"/>
    <w:rsid w:val="00D62BC9"/>
    <w:rsid w:val="00D63BAE"/>
    <w:rsid w:val="00D706CF"/>
    <w:rsid w:val="00D80380"/>
    <w:rsid w:val="00D84346"/>
    <w:rsid w:val="00D87850"/>
    <w:rsid w:val="00D906BF"/>
    <w:rsid w:val="00D9070D"/>
    <w:rsid w:val="00D9135D"/>
    <w:rsid w:val="00D915FA"/>
    <w:rsid w:val="00D91FBA"/>
    <w:rsid w:val="00D91FEA"/>
    <w:rsid w:val="00DA0804"/>
    <w:rsid w:val="00DA091B"/>
    <w:rsid w:val="00DA59B7"/>
    <w:rsid w:val="00DA5A5E"/>
    <w:rsid w:val="00DB18D5"/>
    <w:rsid w:val="00DB2FE5"/>
    <w:rsid w:val="00DB78AF"/>
    <w:rsid w:val="00DC0D9E"/>
    <w:rsid w:val="00DC2D4B"/>
    <w:rsid w:val="00DD069E"/>
    <w:rsid w:val="00DD18AC"/>
    <w:rsid w:val="00DD471F"/>
    <w:rsid w:val="00DD5932"/>
    <w:rsid w:val="00DD7899"/>
    <w:rsid w:val="00DE117F"/>
    <w:rsid w:val="00DE5CDC"/>
    <w:rsid w:val="00DF55E4"/>
    <w:rsid w:val="00DF7450"/>
    <w:rsid w:val="00E0786D"/>
    <w:rsid w:val="00E12AAC"/>
    <w:rsid w:val="00E2414B"/>
    <w:rsid w:val="00E25FB8"/>
    <w:rsid w:val="00E26C50"/>
    <w:rsid w:val="00E331BE"/>
    <w:rsid w:val="00E35CFC"/>
    <w:rsid w:val="00E3774B"/>
    <w:rsid w:val="00E40497"/>
    <w:rsid w:val="00E40A37"/>
    <w:rsid w:val="00E41F51"/>
    <w:rsid w:val="00E5049E"/>
    <w:rsid w:val="00E510D1"/>
    <w:rsid w:val="00E546A9"/>
    <w:rsid w:val="00E54D20"/>
    <w:rsid w:val="00E568F7"/>
    <w:rsid w:val="00E60AD8"/>
    <w:rsid w:val="00E6199A"/>
    <w:rsid w:val="00E6564E"/>
    <w:rsid w:val="00E66961"/>
    <w:rsid w:val="00E73A2E"/>
    <w:rsid w:val="00E73DE6"/>
    <w:rsid w:val="00E76CB8"/>
    <w:rsid w:val="00E80308"/>
    <w:rsid w:val="00E82DC3"/>
    <w:rsid w:val="00E837A1"/>
    <w:rsid w:val="00E83EE4"/>
    <w:rsid w:val="00E84196"/>
    <w:rsid w:val="00E84A88"/>
    <w:rsid w:val="00E857A1"/>
    <w:rsid w:val="00E96A83"/>
    <w:rsid w:val="00EA2982"/>
    <w:rsid w:val="00EA40B8"/>
    <w:rsid w:val="00EA5905"/>
    <w:rsid w:val="00EA5A9F"/>
    <w:rsid w:val="00EA6B93"/>
    <w:rsid w:val="00EA6C80"/>
    <w:rsid w:val="00EB459B"/>
    <w:rsid w:val="00ED215C"/>
    <w:rsid w:val="00EE07FA"/>
    <w:rsid w:val="00EE38E9"/>
    <w:rsid w:val="00EE4410"/>
    <w:rsid w:val="00EE46D1"/>
    <w:rsid w:val="00EE78C6"/>
    <w:rsid w:val="00F003DA"/>
    <w:rsid w:val="00F04E3C"/>
    <w:rsid w:val="00F101B6"/>
    <w:rsid w:val="00F1099A"/>
    <w:rsid w:val="00F160E4"/>
    <w:rsid w:val="00F1652C"/>
    <w:rsid w:val="00F22041"/>
    <w:rsid w:val="00F24591"/>
    <w:rsid w:val="00F273B8"/>
    <w:rsid w:val="00F30990"/>
    <w:rsid w:val="00F32B6A"/>
    <w:rsid w:val="00F351CF"/>
    <w:rsid w:val="00F3668C"/>
    <w:rsid w:val="00F4252D"/>
    <w:rsid w:val="00F43482"/>
    <w:rsid w:val="00F534EA"/>
    <w:rsid w:val="00F54FC8"/>
    <w:rsid w:val="00F60D16"/>
    <w:rsid w:val="00F63C9E"/>
    <w:rsid w:val="00F64788"/>
    <w:rsid w:val="00F7381C"/>
    <w:rsid w:val="00F73ACF"/>
    <w:rsid w:val="00F75E35"/>
    <w:rsid w:val="00F806E3"/>
    <w:rsid w:val="00F807F6"/>
    <w:rsid w:val="00F80AB6"/>
    <w:rsid w:val="00F84C5F"/>
    <w:rsid w:val="00F87564"/>
    <w:rsid w:val="00F91F08"/>
    <w:rsid w:val="00F91F5B"/>
    <w:rsid w:val="00FA0283"/>
    <w:rsid w:val="00FA78A5"/>
    <w:rsid w:val="00FB5885"/>
    <w:rsid w:val="00FB5DBB"/>
    <w:rsid w:val="00FB616C"/>
    <w:rsid w:val="00FB6ED5"/>
    <w:rsid w:val="00FC0A4A"/>
    <w:rsid w:val="00FC1C77"/>
    <w:rsid w:val="00FC3455"/>
    <w:rsid w:val="00FD048A"/>
    <w:rsid w:val="00FD4561"/>
    <w:rsid w:val="00FD46F5"/>
    <w:rsid w:val="00FD6DC0"/>
    <w:rsid w:val="00FE1020"/>
    <w:rsid w:val="00FE5199"/>
    <w:rsid w:val="00FE7EF1"/>
    <w:rsid w:val="00FF03B9"/>
    <w:rsid w:val="00FF1F9F"/>
    <w:rsid w:val="00FF2716"/>
    <w:rsid w:val="00FF6F59"/>
    <w:rsid w:val="020820A1"/>
    <w:rsid w:val="02564D4B"/>
    <w:rsid w:val="02996051"/>
    <w:rsid w:val="03972822"/>
    <w:rsid w:val="03D814A0"/>
    <w:rsid w:val="04E6106A"/>
    <w:rsid w:val="05C07B0D"/>
    <w:rsid w:val="06904213"/>
    <w:rsid w:val="06D27AF8"/>
    <w:rsid w:val="06E72E78"/>
    <w:rsid w:val="07EC3230"/>
    <w:rsid w:val="08A90D2D"/>
    <w:rsid w:val="08C12F36"/>
    <w:rsid w:val="08F4242E"/>
    <w:rsid w:val="097E556B"/>
    <w:rsid w:val="098158EB"/>
    <w:rsid w:val="09DE4037"/>
    <w:rsid w:val="0BD87233"/>
    <w:rsid w:val="0C012C2E"/>
    <w:rsid w:val="0CCD2DA9"/>
    <w:rsid w:val="0DD26630"/>
    <w:rsid w:val="10120F66"/>
    <w:rsid w:val="11647E8E"/>
    <w:rsid w:val="121958E2"/>
    <w:rsid w:val="12577864"/>
    <w:rsid w:val="126805D2"/>
    <w:rsid w:val="12D943DB"/>
    <w:rsid w:val="12F32F45"/>
    <w:rsid w:val="13A04CE8"/>
    <w:rsid w:val="15407502"/>
    <w:rsid w:val="15CD5B92"/>
    <w:rsid w:val="16135A37"/>
    <w:rsid w:val="1683496B"/>
    <w:rsid w:val="17086ECB"/>
    <w:rsid w:val="17326391"/>
    <w:rsid w:val="173D6559"/>
    <w:rsid w:val="18262945"/>
    <w:rsid w:val="18754787"/>
    <w:rsid w:val="193361C3"/>
    <w:rsid w:val="1978727B"/>
    <w:rsid w:val="198962DD"/>
    <w:rsid w:val="1A165196"/>
    <w:rsid w:val="1A51534D"/>
    <w:rsid w:val="1AAE3B94"/>
    <w:rsid w:val="1B336771"/>
    <w:rsid w:val="1C561BCC"/>
    <w:rsid w:val="1D033E7C"/>
    <w:rsid w:val="1D8613C9"/>
    <w:rsid w:val="1E2F53D8"/>
    <w:rsid w:val="1E5872F9"/>
    <w:rsid w:val="1E8219AC"/>
    <w:rsid w:val="1ED01768"/>
    <w:rsid w:val="1FE872EE"/>
    <w:rsid w:val="206E570F"/>
    <w:rsid w:val="20983709"/>
    <w:rsid w:val="20E31C5C"/>
    <w:rsid w:val="220F57E8"/>
    <w:rsid w:val="22A7378F"/>
    <w:rsid w:val="22BF01B0"/>
    <w:rsid w:val="22D1390C"/>
    <w:rsid w:val="22E91FFA"/>
    <w:rsid w:val="23290CD7"/>
    <w:rsid w:val="237572DD"/>
    <w:rsid w:val="23967624"/>
    <w:rsid w:val="23B26890"/>
    <w:rsid w:val="23C4324D"/>
    <w:rsid w:val="24437058"/>
    <w:rsid w:val="24945E5F"/>
    <w:rsid w:val="251315B0"/>
    <w:rsid w:val="25FE0766"/>
    <w:rsid w:val="25FF1B34"/>
    <w:rsid w:val="26C223CD"/>
    <w:rsid w:val="272D0375"/>
    <w:rsid w:val="280451E0"/>
    <w:rsid w:val="28963302"/>
    <w:rsid w:val="29826D04"/>
    <w:rsid w:val="2A043BBD"/>
    <w:rsid w:val="2AB060B5"/>
    <w:rsid w:val="2B7679E1"/>
    <w:rsid w:val="2C1856FE"/>
    <w:rsid w:val="2C471B3F"/>
    <w:rsid w:val="2DE95FA6"/>
    <w:rsid w:val="2E24391E"/>
    <w:rsid w:val="2EB53C7D"/>
    <w:rsid w:val="2FF8617B"/>
    <w:rsid w:val="314E07A0"/>
    <w:rsid w:val="31D1599B"/>
    <w:rsid w:val="32046C9E"/>
    <w:rsid w:val="32466460"/>
    <w:rsid w:val="36647515"/>
    <w:rsid w:val="37427862"/>
    <w:rsid w:val="37AF5A05"/>
    <w:rsid w:val="393A4F06"/>
    <w:rsid w:val="39475874"/>
    <w:rsid w:val="3A105C66"/>
    <w:rsid w:val="3B687D2D"/>
    <w:rsid w:val="3B9648E6"/>
    <w:rsid w:val="3BCD1C95"/>
    <w:rsid w:val="3CAD133C"/>
    <w:rsid w:val="3D2107EB"/>
    <w:rsid w:val="3D356037"/>
    <w:rsid w:val="3DB8307D"/>
    <w:rsid w:val="3DD80F91"/>
    <w:rsid w:val="3DE3213E"/>
    <w:rsid w:val="3F8C5D8F"/>
    <w:rsid w:val="3FFD6C8D"/>
    <w:rsid w:val="40725A4C"/>
    <w:rsid w:val="40AD4CD2"/>
    <w:rsid w:val="40FC30E2"/>
    <w:rsid w:val="41291887"/>
    <w:rsid w:val="41F63AA2"/>
    <w:rsid w:val="41FF18A8"/>
    <w:rsid w:val="443552D4"/>
    <w:rsid w:val="448623F7"/>
    <w:rsid w:val="45006A83"/>
    <w:rsid w:val="463A50D8"/>
    <w:rsid w:val="47833842"/>
    <w:rsid w:val="47EF3BCA"/>
    <w:rsid w:val="48751010"/>
    <w:rsid w:val="4AF12D49"/>
    <w:rsid w:val="4B27757C"/>
    <w:rsid w:val="4C1E022B"/>
    <w:rsid w:val="4D4203D5"/>
    <w:rsid w:val="4E4007E7"/>
    <w:rsid w:val="4EA95B2F"/>
    <w:rsid w:val="4F5368C9"/>
    <w:rsid w:val="4F6267DE"/>
    <w:rsid w:val="4F7227E0"/>
    <w:rsid w:val="50407C47"/>
    <w:rsid w:val="50FE09D5"/>
    <w:rsid w:val="516751D6"/>
    <w:rsid w:val="52163B67"/>
    <w:rsid w:val="52BE6086"/>
    <w:rsid w:val="53AD7415"/>
    <w:rsid w:val="5429237D"/>
    <w:rsid w:val="55396B5E"/>
    <w:rsid w:val="555C7B5A"/>
    <w:rsid w:val="559823A1"/>
    <w:rsid w:val="56531A1B"/>
    <w:rsid w:val="567D746F"/>
    <w:rsid w:val="571F55B1"/>
    <w:rsid w:val="572953AD"/>
    <w:rsid w:val="577F3629"/>
    <w:rsid w:val="579D4CED"/>
    <w:rsid w:val="58727DC0"/>
    <w:rsid w:val="58DE337E"/>
    <w:rsid w:val="596C5104"/>
    <w:rsid w:val="5AAD149A"/>
    <w:rsid w:val="5AFF398E"/>
    <w:rsid w:val="5D07484F"/>
    <w:rsid w:val="5D6D2DA4"/>
    <w:rsid w:val="5E415184"/>
    <w:rsid w:val="5E615712"/>
    <w:rsid w:val="5FC347C7"/>
    <w:rsid w:val="61DE1888"/>
    <w:rsid w:val="624B7071"/>
    <w:rsid w:val="62562501"/>
    <w:rsid w:val="627E762A"/>
    <w:rsid w:val="635B38BC"/>
    <w:rsid w:val="636C7B02"/>
    <w:rsid w:val="65113350"/>
    <w:rsid w:val="65640326"/>
    <w:rsid w:val="66032DE2"/>
    <w:rsid w:val="6788378B"/>
    <w:rsid w:val="679F563F"/>
    <w:rsid w:val="67B33F51"/>
    <w:rsid w:val="683A37BC"/>
    <w:rsid w:val="69A94FC9"/>
    <w:rsid w:val="69BA15C7"/>
    <w:rsid w:val="69F70680"/>
    <w:rsid w:val="6A2C1D99"/>
    <w:rsid w:val="6A9026B1"/>
    <w:rsid w:val="6C7E69B1"/>
    <w:rsid w:val="6CA64085"/>
    <w:rsid w:val="6D895889"/>
    <w:rsid w:val="6D9A3F7B"/>
    <w:rsid w:val="6E4B4445"/>
    <w:rsid w:val="6F5F30A8"/>
    <w:rsid w:val="704465A3"/>
    <w:rsid w:val="711200BC"/>
    <w:rsid w:val="726F5952"/>
    <w:rsid w:val="72734076"/>
    <w:rsid w:val="72F9751E"/>
    <w:rsid w:val="735E6095"/>
    <w:rsid w:val="73E212B8"/>
    <w:rsid w:val="740227D1"/>
    <w:rsid w:val="74841403"/>
    <w:rsid w:val="74D55507"/>
    <w:rsid w:val="75291143"/>
    <w:rsid w:val="758A3D23"/>
    <w:rsid w:val="75AF3FAA"/>
    <w:rsid w:val="75FA0CA3"/>
    <w:rsid w:val="7606581A"/>
    <w:rsid w:val="776F7253"/>
    <w:rsid w:val="789570F8"/>
    <w:rsid w:val="798E0C1A"/>
    <w:rsid w:val="7A390A35"/>
    <w:rsid w:val="7A65344B"/>
    <w:rsid w:val="7B9F1012"/>
    <w:rsid w:val="7BDE6039"/>
    <w:rsid w:val="7D815D3B"/>
    <w:rsid w:val="7F20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宋体"/>
      <w:sz w:val="24"/>
      <w:szCs w:val="24"/>
      <w:lang w:val="en-US" w:eastAsia="zh-CN" w:bidi="ar-SA"/>
    </w:rPr>
  </w:style>
  <w:style w:type="paragraph" w:styleId="4">
    <w:name w:val="heading 1"/>
    <w:basedOn w:val="1"/>
    <w:next w:val="1"/>
    <w:link w:val="34"/>
    <w:qFormat/>
    <w:uiPriority w:val="0"/>
    <w:pPr>
      <w:pageBreakBefore/>
      <w:spacing w:before="480" w:after="120"/>
      <w:jc w:val="center"/>
      <w:outlineLvl w:val="0"/>
    </w:pPr>
    <w:rPr>
      <w:rFonts w:ascii="Cambria" w:hAnsi="Cambria" w:cs="Times New Roman"/>
      <w:b/>
      <w:bCs/>
      <w:color w:val="00B050"/>
      <w:sz w:val="40"/>
      <w:szCs w:val="20"/>
    </w:rPr>
  </w:style>
  <w:style w:type="paragraph" w:styleId="5">
    <w:name w:val="heading 2"/>
    <w:basedOn w:val="1"/>
    <w:next w:val="1"/>
    <w:link w:val="35"/>
    <w:qFormat/>
    <w:uiPriority w:val="9"/>
    <w:pPr>
      <w:keepNext/>
      <w:keepLines/>
      <w:spacing w:before="260" w:after="260" w:line="416" w:lineRule="auto"/>
      <w:outlineLvl w:val="1"/>
    </w:pPr>
    <w:rPr>
      <w:rFonts w:ascii="Cambria" w:hAnsi="Cambria" w:cs="Times New Roman"/>
      <w:b/>
      <w:bCs/>
      <w:sz w:val="32"/>
      <w:szCs w:val="32"/>
    </w:rPr>
  </w:style>
  <w:style w:type="paragraph" w:styleId="6">
    <w:name w:val="heading 3"/>
    <w:basedOn w:val="1"/>
    <w:next w:val="1"/>
    <w:link w:val="36"/>
    <w:qFormat/>
    <w:uiPriority w:val="0"/>
    <w:pPr>
      <w:keepNext/>
      <w:keepLines/>
      <w:spacing w:before="260" w:after="260" w:line="416" w:lineRule="auto"/>
      <w:outlineLvl w:val="2"/>
    </w:pPr>
    <w:rPr>
      <w:b/>
      <w:bCs/>
      <w:sz w:val="32"/>
      <w:szCs w:val="32"/>
    </w:rPr>
  </w:style>
  <w:style w:type="paragraph" w:styleId="7">
    <w:name w:val="heading 4"/>
    <w:basedOn w:val="1"/>
    <w:next w:val="1"/>
    <w:link w:val="37"/>
    <w:qFormat/>
    <w:uiPriority w:val="9"/>
    <w:pPr>
      <w:keepNext/>
      <w:keepLines/>
      <w:spacing w:before="280" w:after="290" w:line="376" w:lineRule="auto"/>
      <w:outlineLvl w:val="3"/>
    </w:pPr>
    <w:rPr>
      <w:rFonts w:ascii="Cambria" w:hAnsi="Cambria" w:cs="Times New Roman"/>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unhideWhenUsed/>
    <w:qFormat/>
    <w:uiPriority w:val="0"/>
    <w:pPr>
      <w:spacing w:after="120"/>
    </w:pPr>
  </w:style>
  <w:style w:type="paragraph" w:styleId="3">
    <w:name w:val="List Bullet 5"/>
    <w:basedOn w:val="1"/>
    <w:qFormat/>
    <w:uiPriority w:val="0"/>
    <w:pPr>
      <w:widowControl w:val="0"/>
      <w:numPr>
        <w:ilvl w:val="0"/>
        <w:numId w:val="1"/>
      </w:numPr>
      <w:jc w:val="both"/>
    </w:pPr>
    <w:rPr>
      <w:rFonts w:cs="Times New Roman"/>
      <w:kern w:val="2"/>
      <w:szCs w:val="21"/>
    </w:rPr>
  </w:style>
  <w:style w:type="paragraph" w:styleId="8">
    <w:name w:val="caption"/>
    <w:basedOn w:val="1"/>
    <w:next w:val="1"/>
    <w:qFormat/>
    <w:uiPriority w:val="99"/>
    <w:rPr>
      <w:rFonts w:ascii="Calibri Light" w:hAnsi="Calibri Light" w:eastAsia="黑体"/>
      <w:sz w:val="20"/>
      <w:szCs w:val="20"/>
    </w:rPr>
  </w:style>
  <w:style w:type="paragraph" w:styleId="9">
    <w:name w:val="annotation text"/>
    <w:basedOn w:val="1"/>
    <w:link w:val="40"/>
    <w:unhideWhenUsed/>
    <w:qFormat/>
    <w:uiPriority w:val="0"/>
    <w:pPr>
      <w:widowControl w:val="0"/>
    </w:pPr>
    <w:rPr>
      <w:rFonts w:cs="Times New Roman"/>
      <w:kern w:val="2"/>
    </w:rPr>
  </w:style>
  <w:style w:type="paragraph" w:styleId="10">
    <w:name w:val="Body Text Indent"/>
    <w:basedOn w:val="1"/>
    <w:link w:val="43"/>
    <w:qFormat/>
    <w:uiPriority w:val="0"/>
    <w:pPr>
      <w:widowControl w:val="0"/>
      <w:spacing w:after="120"/>
      <w:ind w:left="420" w:leftChars="200"/>
      <w:jc w:val="both"/>
    </w:pPr>
    <w:rPr>
      <w:rFonts w:ascii="Calibri" w:hAnsi="Calibri" w:cs="Times New Roman"/>
      <w:kern w:val="2"/>
      <w:szCs w:val="22"/>
    </w:rPr>
  </w:style>
  <w:style w:type="paragraph" w:styleId="11">
    <w:name w:val="Block Text"/>
    <w:basedOn w:val="1"/>
    <w:next w:val="1"/>
    <w:qFormat/>
    <w:uiPriority w:val="0"/>
    <w:pPr>
      <w:widowControl w:val="0"/>
      <w:spacing w:line="300" w:lineRule="exact"/>
      <w:ind w:left="-96" w:leftChars="-40" w:right="-16" w:firstLine="482" w:firstLineChars="200"/>
      <w:jc w:val="both"/>
    </w:pPr>
    <w:rPr>
      <w:rFonts w:cs="Times New Roman"/>
      <w:kern w:val="2"/>
      <w:sz w:val="21"/>
    </w:rPr>
  </w:style>
  <w:style w:type="paragraph" w:styleId="12">
    <w:name w:val="Plain Text"/>
    <w:basedOn w:val="1"/>
    <w:link w:val="44"/>
    <w:qFormat/>
    <w:uiPriority w:val="99"/>
    <w:rPr>
      <w:rFonts w:hAnsi="Courier New" w:cs="Courier New"/>
      <w:szCs w:val="21"/>
    </w:rPr>
  </w:style>
  <w:style w:type="paragraph" w:styleId="13">
    <w:name w:val="Date"/>
    <w:basedOn w:val="1"/>
    <w:next w:val="1"/>
    <w:link w:val="46"/>
    <w:qFormat/>
    <w:uiPriority w:val="0"/>
    <w:pPr>
      <w:widowControl w:val="0"/>
      <w:ind w:left="100" w:leftChars="2500"/>
      <w:jc w:val="both"/>
    </w:pPr>
    <w:rPr>
      <w:rFonts w:ascii="Calibri" w:hAnsi="Calibri" w:cs="Times New Roman"/>
      <w:kern w:val="2"/>
      <w:szCs w:val="22"/>
    </w:rPr>
  </w:style>
  <w:style w:type="paragraph" w:styleId="14">
    <w:name w:val="Body Text Indent 2"/>
    <w:basedOn w:val="1"/>
    <w:link w:val="48"/>
    <w:qFormat/>
    <w:uiPriority w:val="0"/>
    <w:pPr>
      <w:widowControl w:val="0"/>
      <w:spacing w:after="120" w:line="480" w:lineRule="auto"/>
      <w:ind w:left="420" w:leftChars="200"/>
      <w:jc w:val="both"/>
    </w:pPr>
    <w:rPr>
      <w:rFonts w:cs="Times New Roman"/>
      <w:kern w:val="2"/>
    </w:rPr>
  </w:style>
  <w:style w:type="paragraph" w:styleId="15">
    <w:name w:val="Balloon Text"/>
    <w:basedOn w:val="1"/>
    <w:link w:val="49"/>
    <w:qFormat/>
    <w:uiPriority w:val="0"/>
    <w:pPr>
      <w:widowControl w:val="0"/>
      <w:jc w:val="both"/>
    </w:pPr>
    <w:rPr>
      <w:rFonts w:ascii="Calibri" w:hAnsi="Calibri" w:cs="Times New Roman"/>
      <w:kern w:val="2"/>
      <w:sz w:val="18"/>
      <w:szCs w:val="22"/>
    </w:rPr>
  </w:style>
  <w:style w:type="paragraph" w:styleId="16">
    <w:name w:val="footer"/>
    <w:basedOn w:val="1"/>
    <w:link w:val="39"/>
    <w:unhideWhenUsed/>
    <w:qFormat/>
    <w:uiPriority w:val="99"/>
    <w:pPr>
      <w:tabs>
        <w:tab w:val="center" w:pos="4153"/>
        <w:tab w:val="right" w:pos="8306"/>
      </w:tabs>
      <w:snapToGrid w:val="0"/>
    </w:pPr>
    <w:rPr>
      <w:sz w:val="18"/>
      <w:szCs w:val="18"/>
    </w:rPr>
  </w:style>
  <w:style w:type="paragraph" w:styleId="17">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tabs>
        <w:tab w:val="right" w:leader="dot" w:pos="8778"/>
      </w:tabs>
    </w:pPr>
    <w:rPr>
      <w:b/>
    </w:rPr>
  </w:style>
  <w:style w:type="paragraph" w:styleId="19">
    <w:name w:val="index heading"/>
    <w:basedOn w:val="1"/>
    <w:next w:val="20"/>
    <w:qFormat/>
    <w:uiPriority w:val="99"/>
  </w:style>
  <w:style w:type="paragraph" w:styleId="20">
    <w:name w:val="index 1"/>
    <w:basedOn w:val="1"/>
    <w:next w:val="1"/>
    <w:semiHidden/>
    <w:qFormat/>
    <w:uiPriority w:val="0"/>
    <w:rPr>
      <w:rFonts w:cs="Times New Roman"/>
      <w:kern w:val="2"/>
      <w:szCs w:val="20"/>
    </w:rPr>
  </w:style>
  <w:style w:type="paragraph" w:styleId="21">
    <w:name w:val="List"/>
    <w:basedOn w:val="1"/>
    <w:link w:val="50"/>
    <w:qFormat/>
    <w:uiPriority w:val="0"/>
    <w:pPr>
      <w:widowControl w:val="0"/>
      <w:spacing w:line="360" w:lineRule="exact"/>
      <w:jc w:val="center"/>
    </w:pPr>
    <w:rPr>
      <w:rFonts w:ascii="仿宋_GB2312" w:hAnsi="Calibri" w:eastAsia="仿宋_GB2312" w:cs="Times New Roman"/>
      <w:kern w:val="2"/>
      <w:sz w:val="21"/>
      <w:szCs w:val="22"/>
    </w:rPr>
  </w:style>
  <w:style w:type="paragraph" w:styleId="22">
    <w:name w:val="Body Text Indent 3"/>
    <w:basedOn w:val="1"/>
    <w:link w:val="51"/>
    <w:qFormat/>
    <w:uiPriority w:val="0"/>
    <w:pPr>
      <w:widowControl w:val="0"/>
      <w:spacing w:after="120"/>
      <w:ind w:left="420" w:leftChars="200"/>
      <w:jc w:val="both"/>
    </w:pPr>
    <w:rPr>
      <w:rFonts w:cs="Times New Roman"/>
      <w:kern w:val="2"/>
      <w:sz w:val="16"/>
      <w:szCs w:val="16"/>
    </w:rPr>
  </w:style>
  <w:style w:type="paragraph" w:styleId="23">
    <w:name w:val="Normal (Web)"/>
    <w:basedOn w:val="1"/>
    <w:link w:val="52"/>
    <w:qFormat/>
    <w:uiPriority w:val="99"/>
    <w:pPr>
      <w:spacing w:before="100" w:beforeAutospacing="1" w:after="100" w:afterAutospacing="1"/>
      <w:jc w:val="center"/>
      <w:outlineLvl w:val="0"/>
    </w:pPr>
    <w:rPr>
      <w:rFonts w:cs="Times New Roman"/>
      <w:szCs w:val="20"/>
    </w:rPr>
  </w:style>
  <w:style w:type="paragraph" w:styleId="24">
    <w:name w:val="annotation subject"/>
    <w:basedOn w:val="9"/>
    <w:next w:val="9"/>
    <w:link w:val="53"/>
    <w:semiHidden/>
    <w:qFormat/>
    <w:uiPriority w:val="0"/>
    <w:rPr>
      <w:rFonts w:ascii="Calibri" w:hAnsi="Calibri"/>
      <w:b/>
      <w:szCs w:val="22"/>
    </w:rPr>
  </w:style>
  <w:style w:type="paragraph" w:styleId="25">
    <w:name w:val="Body Text First Indent"/>
    <w:basedOn w:val="2"/>
    <w:link w:val="54"/>
    <w:qFormat/>
    <w:uiPriority w:val="0"/>
    <w:pPr>
      <w:widowControl w:val="0"/>
      <w:ind w:firstLine="420" w:firstLineChars="100"/>
      <w:jc w:val="both"/>
    </w:pPr>
    <w:rPr>
      <w:rFonts w:cs="Times New Roman"/>
      <w:kern w:val="2"/>
    </w:rPr>
  </w:style>
  <w:style w:type="paragraph" w:styleId="26">
    <w:name w:val="Body Text First Indent 2"/>
    <w:basedOn w:val="10"/>
    <w:link w:val="55"/>
    <w:qFormat/>
    <w:uiPriority w:val="99"/>
    <w:pPr>
      <w:ind w:firstLine="420" w:firstLineChars="200"/>
    </w:pPr>
    <w:rPr>
      <w:sz w:val="21"/>
      <w:szCs w:val="24"/>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qFormat/>
    <w:uiPriority w:val="0"/>
  </w:style>
  <w:style w:type="character" w:styleId="32">
    <w:name w:val="Hyperlink"/>
    <w:qFormat/>
    <w:uiPriority w:val="0"/>
    <w:rPr>
      <w:color w:val="0000CC"/>
      <w:u w:val="single"/>
    </w:rPr>
  </w:style>
  <w:style w:type="character" w:styleId="33">
    <w:name w:val="annotation reference"/>
    <w:qFormat/>
    <w:uiPriority w:val="99"/>
    <w:rPr>
      <w:sz w:val="21"/>
    </w:rPr>
  </w:style>
  <w:style w:type="character" w:customStyle="1" w:styleId="34">
    <w:name w:val="标题 1 字符"/>
    <w:basedOn w:val="29"/>
    <w:link w:val="4"/>
    <w:qFormat/>
    <w:uiPriority w:val="0"/>
    <w:rPr>
      <w:rFonts w:ascii="Cambria" w:hAnsi="Cambria" w:eastAsia="宋体" w:cs="Times New Roman"/>
      <w:b/>
      <w:bCs/>
      <w:color w:val="00B050"/>
      <w:kern w:val="0"/>
      <w:sz w:val="40"/>
      <w:szCs w:val="20"/>
    </w:rPr>
  </w:style>
  <w:style w:type="character" w:customStyle="1" w:styleId="35">
    <w:name w:val="标题 2 字符"/>
    <w:basedOn w:val="29"/>
    <w:link w:val="5"/>
    <w:qFormat/>
    <w:uiPriority w:val="9"/>
    <w:rPr>
      <w:rFonts w:ascii="Cambria" w:hAnsi="Cambria" w:eastAsia="宋体" w:cs="Times New Roman"/>
      <w:b/>
      <w:bCs/>
      <w:kern w:val="0"/>
      <w:sz w:val="32"/>
      <w:szCs w:val="32"/>
    </w:rPr>
  </w:style>
  <w:style w:type="character" w:customStyle="1" w:styleId="36">
    <w:name w:val="标题 3 字符"/>
    <w:basedOn w:val="29"/>
    <w:link w:val="6"/>
    <w:qFormat/>
    <w:uiPriority w:val="9"/>
    <w:rPr>
      <w:rFonts w:ascii="Times New Roman" w:hAnsi="Times New Roman" w:eastAsia="宋体" w:cs="宋体"/>
      <w:b/>
      <w:bCs/>
      <w:kern w:val="0"/>
      <w:sz w:val="32"/>
      <w:szCs w:val="32"/>
    </w:rPr>
  </w:style>
  <w:style w:type="character" w:customStyle="1" w:styleId="37">
    <w:name w:val="标题 4 字符"/>
    <w:basedOn w:val="29"/>
    <w:link w:val="7"/>
    <w:qFormat/>
    <w:uiPriority w:val="9"/>
    <w:rPr>
      <w:rFonts w:ascii="Cambria" w:hAnsi="Cambria" w:eastAsia="宋体" w:cs="Times New Roman"/>
      <w:b/>
      <w:bCs/>
      <w:kern w:val="0"/>
      <w:sz w:val="28"/>
      <w:szCs w:val="28"/>
    </w:rPr>
  </w:style>
  <w:style w:type="character" w:customStyle="1" w:styleId="38">
    <w:name w:val="页眉 字符"/>
    <w:basedOn w:val="29"/>
    <w:link w:val="17"/>
    <w:qFormat/>
    <w:uiPriority w:val="0"/>
    <w:rPr>
      <w:sz w:val="18"/>
      <w:szCs w:val="18"/>
    </w:rPr>
  </w:style>
  <w:style w:type="character" w:customStyle="1" w:styleId="39">
    <w:name w:val="页脚 字符"/>
    <w:basedOn w:val="29"/>
    <w:link w:val="16"/>
    <w:qFormat/>
    <w:uiPriority w:val="99"/>
    <w:rPr>
      <w:sz w:val="18"/>
      <w:szCs w:val="18"/>
    </w:rPr>
  </w:style>
  <w:style w:type="character" w:customStyle="1" w:styleId="40">
    <w:name w:val="批注文字 字符1"/>
    <w:link w:val="9"/>
    <w:qFormat/>
    <w:uiPriority w:val="0"/>
    <w:rPr>
      <w:rFonts w:ascii="Times New Roman" w:hAnsi="Times New Roman" w:eastAsia="宋体" w:cs="Times New Roman"/>
      <w:sz w:val="24"/>
      <w:szCs w:val="24"/>
    </w:rPr>
  </w:style>
  <w:style w:type="character" w:customStyle="1" w:styleId="41">
    <w:name w:val="批注文字 字符"/>
    <w:basedOn w:val="29"/>
    <w:qFormat/>
    <w:uiPriority w:val="0"/>
    <w:rPr>
      <w:rFonts w:ascii="Times New Roman" w:hAnsi="Times New Roman" w:eastAsia="宋体" w:cs="宋体"/>
      <w:kern w:val="0"/>
      <w:sz w:val="24"/>
      <w:szCs w:val="24"/>
    </w:rPr>
  </w:style>
  <w:style w:type="character" w:customStyle="1" w:styleId="42">
    <w:name w:val="正文文本 字符"/>
    <w:basedOn w:val="29"/>
    <w:link w:val="2"/>
    <w:qFormat/>
    <w:uiPriority w:val="0"/>
    <w:rPr>
      <w:rFonts w:ascii="Times New Roman" w:hAnsi="Times New Roman" w:eastAsia="宋体" w:cs="宋体"/>
      <w:kern w:val="0"/>
      <w:sz w:val="24"/>
      <w:szCs w:val="24"/>
    </w:rPr>
  </w:style>
  <w:style w:type="character" w:customStyle="1" w:styleId="43">
    <w:name w:val="正文文本缩进 字符"/>
    <w:basedOn w:val="29"/>
    <w:link w:val="10"/>
    <w:qFormat/>
    <w:uiPriority w:val="0"/>
    <w:rPr>
      <w:rFonts w:ascii="Calibri" w:hAnsi="Calibri" w:eastAsia="宋体" w:cs="Times New Roman"/>
      <w:sz w:val="24"/>
    </w:rPr>
  </w:style>
  <w:style w:type="character" w:customStyle="1" w:styleId="44">
    <w:name w:val="纯文本 字符1"/>
    <w:link w:val="12"/>
    <w:qFormat/>
    <w:locked/>
    <w:uiPriority w:val="99"/>
    <w:rPr>
      <w:rFonts w:ascii="Times New Roman" w:hAnsi="Courier New" w:eastAsia="宋体" w:cs="Courier New"/>
      <w:kern w:val="0"/>
      <w:sz w:val="24"/>
      <w:szCs w:val="21"/>
    </w:rPr>
  </w:style>
  <w:style w:type="character" w:customStyle="1" w:styleId="45">
    <w:name w:val="纯文本 字符"/>
    <w:basedOn w:val="29"/>
    <w:qFormat/>
    <w:uiPriority w:val="0"/>
    <w:rPr>
      <w:rFonts w:hAnsi="Courier New" w:cs="Courier New" w:asciiTheme="minorEastAsia"/>
      <w:kern w:val="0"/>
      <w:sz w:val="24"/>
      <w:szCs w:val="24"/>
    </w:rPr>
  </w:style>
  <w:style w:type="character" w:customStyle="1" w:styleId="46">
    <w:name w:val="日期 字符1"/>
    <w:link w:val="13"/>
    <w:qFormat/>
    <w:locked/>
    <w:uiPriority w:val="0"/>
    <w:rPr>
      <w:rFonts w:ascii="Calibri" w:hAnsi="Calibri" w:eastAsia="宋体" w:cs="Times New Roman"/>
      <w:sz w:val="24"/>
    </w:rPr>
  </w:style>
  <w:style w:type="character" w:customStyle="1" w:styleId="47">
    <w:name w:val="日期 字符"/>
    <w:basedOn w:val="29"/>
    <w:semiHidden/>
    <w:qFormat/>
    <w:uiPriority w:val="0"/>
    <w:rPr>
      <w:rFonts w:ascii="Times New Roman" w:hAnsi="Times New Roman" w:eastAsia="宋体" w:cs="宋体"/>
      <w:kern w:val="0"/>
      <w:sz w:val="24"/>
      <w:szCs w:val="24"/>
    </w:rPr>
  </w:style>
  <w:style w:type="character" w:customStyle="1" w:styleId="48">
    <w:name w:val="正文文本缩进 2 字符"/>
    <w:basedOn w:val="29"/>
    <w:link w:val="14"/>
    <w:qFormat/>
    <w:uiPriority w:val="0"/>
    <w:rPr>
      <w:rFonts w:ascii="Times New Roman" w:hAnsi="Times New Roman" w:eastAsia="宋体" w:cs="Times New Roman"/>
      <w:sz w:val="24"/>
      <w:szCs w:val="24"/>
    </w:rPr>
  </w:style>
  <w:style w:type="character" w:customStyle="1" w:styleId="49">
    <w:name w:val="批注框文本 字符"/>
    <w:basedOn w:val="29"/>
    <w:link w:val="15"/>
    <w:qFormat/>
    <w:uiPriority w:val="0"/>
    <w:rPr>
      <w:rFonts w:ascii="Calibri" w:hAnsi="Calibri" w:eastAsia="宋体" w:cs="Times New Roman"/>
      <w:sz w:val="18"/>
    </w:rPr>
  </w:style>
  <w:style w:type="character" w:customStyle="1" w:styleId="50">
    <w:name w:val="列表 字符2"/>
    <w:link w:val="21"/>
    <w:qFormat/>
    <w:uiPriority w:val="0"/>
    <w:rPr>
      <w:rFonts w:ascii="仿宋_GB2312" w:hAnsi="Calibri" w:eastAsia="仿宋_GB2312" w:cs="Times New Roman"/>
    </w:rPr>
  </w:style>
  <w:style w:type="character" w:customStyle="1" w:styleId="51">
    <w:name w:val="正文文本缩进 3 字符"/>
    <w:basedOn w:val="29"/>
    <w:link w:val="22"/>
    <w:qFormat/>
    <w:uiPriority w:val="0"/>
    <w:rPr>
      <w:rFonts w:ascii="Times New Roman" w:hAnsi="Times New Roman" w:eastAsia="宋体" w:cs="Times New Roman"/>
      <w:sz w:val="16"/>
      <w:szCs w:val="16"/>
    </w:rPr>
  </w:style>
  <w:style w:type="character" w:customStyle="1" w:styleId="52">
    <w:name w:val="普通(网站) 字符"/>
    <w:link w:val="23"/>
    <w:qFormat/>
    <w:locked/>
    <w:uiPriority w:val="99"/>
    <w:rPr>
      <w:rFonts w:ascii="Times New Roman" w:hAnsi="Times New Roman" w:eastAsia="宋体" w:cs="Times New Roman"/>
      <w:kern w:val="0"/>
      <w:sz w:val="24"/>
      <w:szCs w:val="20"/>
    </w:rPr>
  </w:style>
  <w:style w:type="character" w:customStyle="1" w:styleId="53">
    <w:name w:val="批注主题 字符"/>
    <w:basedOn w:val="41"/>
    <w:link w:val="24"/>
    <w:semiHidden/>
    <w:qFormat/>
    <w:uiPriority w:val="0"/>
    <w:rPr>
      <w:rFonts w:ascii="Calibri" w:hAnsi="Calibri" w:eastAsia="宋体" w:cs="Times New Roman"/>
      <w:b/>
      <w:kern w:val="0"/>
      <w:sz w:val="24"/>
      <w:szCs w:val="24"/>
    </w:rPr>
  </w:style>
  <w:style w:type="character" w:customStyle="1" w:styleId="54">
    <w:name w:val="正文文本首行缩进 字符"/>
    <w:basedOn w:val="42"/>
    <w:link w:val="25"/>
    <w:qFormat/>
    <w:uiPriority w:val="0"/>
    <w:rPr>
      <w:rFonts w:ascii="Times New Roman" w:hAnsi="Times New Roman" w:eastAsia="宋体" w:cs="Times New Roman"/>
      <w:kern w:val="0"/>
      <w:sz w:val="24"/>
      <w:szCs w:val="24"/>
    </w:rPr>
  </w:style>
  <w:style w:type="character" w:customStyle="1" w:styleId="55">
    <w:name w:val="正文文本首行缩进 2 字符"/>
    <w:basedOn w:val="43"/>
    <w:link w:val="26"/>
    <w:qFormat/>
    <w:uiPriority w:val="99"/>
    <w:rPr>
      <w:rFonts w:ascii="Calibri" w:hAnsi="Calibri" w:eastAsia="宋体" w:cs="Times New Roman"/>
      <w:sz w:val="24"/>
      <w:szCs w:val="24"/>
    </w:rPr>
  </w:style>
  <w:style w:type="paragraph" w:customStyle="1" w:styleId="56">
    <w:name w:val="正文1"/>
    <w:basedOn w:val="1"/>
    <w:link w:val="111"/>
    <w:qFormat/>
    <w:uiPriority w:val="0"/>
    <w:pPr>
      <w:snapToGrid w:val="0"/>
      <w:spacing w:line="360" w:lineRule="auto"/>
      <w:ind w:firstLine="428" w:firstLineChars="200"/>
      <w:jc w:val="both"/>
      <w:outlineLvl w:val="4"/>
    </w:pPr>
    <w:rPr>
      <w:spacing w:val="4"/>
      <w:szCs w:val="21"/>
    </w:rPr>
  </w:style>
  <w:style w:type="character" w:customStyle="1" w:styleId="57">
    <w:name w:val="表格 Char"/>
    <w:link w:val="58"/>
    <w:qFormat/>
    <w:locked/>
    <w:uiPriority w:val="0"/>
    <w:rPr>
      <w:rFonts w:ascii="Times New Roman" w:hAnsi="Times New Roman" w:eastAsia="宋体"/>
    </w:rPr>
  </w:style>
  <w:style w:type="paragraph" w:customStyle="1" w:styleId="58">
    <w:name w:val="表格"/>
    <w:basedOn w:val="1"/>
    <w:next w:val="1"/>
    <w:link w:val="57"/>
    <w:qFormat/>
    <w:uiPriority w:val="0"/>
    <w:pPr>
      <w:widowControl w:val="0"/>
      <w:adjustRightInd w:val="0"/>
      <w:snapToGrid w:val="0"/>
      <w:spacing w:before="32" w:beforeLines="10" w:after="32" w:afterLines="10" w:line="259" w:lineRule="auto"/>
      <w:jc w:val="center"/>
    </w:pPr>
    <w:rPr>
      <w:rFonts w:cstheme="minorBidi"/>
      <w:kern w:val="2"/>
      <w:sz w:val="21"/>
      <w:szCs w:val="22"/>
    </w:rPr>
  </w:style>
  <w:style w:type="character" w:customStyle="1" w:styleId="59">
    <w:name w:val="正文01 Char"/>
    <w:link w:val="60"/>
    <w:qFormat/>
    <w:locked/>
    <w:uiPriority w:val="99"/>
    <w:rPr>
      <w:sz w:val="24"/>
      <w:szCs w:val="24"/>
    </w:rPr>
  </w:style>
  <w:style w:type="paragraph" w:customStyle="1" w:styleId="60">
    <w:name w:val="正文01"/>
    <w:basedOn w:val="1"/>
    <w:link w:val="59"/>
    <w:qFormat/>
    <w:uiPriority w:val="99"/>
    <w:pPr>
      <w:spacing w:before="60" w:line="460" w:lineRule="exact"/>
      <w:ind w:firstLine="200" w:firstLineChars="200"/>
    </w:pPr>
    <w:rPr>
      <w:rFonts w:asciiTheme="minorHAnsi" w:hAnsiTheme="minorHAnsi" w:eastAsiaTheme="minorEastAsia" w:cstheme="minorBidi"/>
      <w:kern w:val="2"/>
    </w:rPr>
  </w:style>
  <w:style w:type="character" w:customStyle="1" w:styleId="61">
    <w:name w:val="表格 居中 Char Char"/>
    <w:link w:val="62"/>
    <w:qFormat/>
    <w:locked/>
    <w:uiPriority w:val="0"/>
    <w:rPr>
      <w:rFonts w:ascii="Times New Roman" w:hAnsi="Times New Roman" w:eastAsia="宋体"/>
      <w:szCs w:val="21"/>
    </w:rPr>
  </w:style>
  <w:style w:type="paragraph" w:customStyle="1" w:styleId="62">
    <w:name w:val="表格 居中"/>
    <w:link w:val="61"/>
    <w:qFormat/>
    <w:uiPriority w:val="0"/>
    <w:pPr>
      <w:widowControl w:val="0"/>
      <w:jc w:val="center"/>
    </w:pPr>
    <w:rPr>
      <w:rFonts w:ascii="Times New Roman" w:hAnsi="Times New Roman" w:eastAsia="宋体" w:cstheme="minorBidi"/>
      <w:kern w:val="2"/>
      <w:sz w:val="21"/>
      <w:szCs w:val="21"/>
      <w:lang w:val="en-US" w:eastAsia="zh-CN" w:bidi="ar-SA"/>
    </w:rPr>
  </w:style>
  <w:style w:type="character" w:customStyle="1" w:styleId="63">
    <w:name w:val="fontstyle01"/>
    <w:qFormat/>
    <w:uiPriority w:val="0"/>
    <w:rPr>
      <w:rFonts w:hint="eastAsia" w:ascii="宋体" w:hAnsi="宋体" w:eastAsia="宋体"/>
      <w:color w:val="000000"/>
      <w:sz w:val="24"/>
      <w:szCs w:val="24"/>
    </w:rPr>
  </w:style>
  <w:style w:type="character" w:customStyle="1" w:styleId="64">
    <w:name w:val="页脚 字符1"/>
    <w:qFormat/>
    <w:locked/>
    <w:uiPriority w:val="99"/>
    <w:rPr>
      <w:sz w:val="18"/>
    </w:rPr>
  </w:style>
  <w:style w:type="paragraph" w:customStyle="1" w:styleId="6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普通(网站)2"/>
    <w:basedOn w:val="1"/>
    <w:qFormat/>
    <w:uiPriority w:val="0"/>
    <w:pPr>
      <w:spacing w:before="100" w:beforeAutospacing="1" w:after="100" w:afterAutospacing="1"/>
    </w:pPr>
    <w:rPr>
      <w:rFonts w:cs="Times New Roman"/>
      <w:kern w:val="2"/>
      <w:szCs w:val="20"/>
    </w:rPr>
  </w:style>
  <w:style w:type="paragraph" w:customStyle="1" w:styleId="67">
    <w:name w:val="xl24"/>
    <w:basedOn w:val="1"/>
    <w:qFormat/>
    <w:uiPriority w:val="0"/>
    <w:pPr>
      <w:pBdr>
        <w:bottom w:val="single" w:color="auto" w:sz="4" w:space="0"/>
        <w:right w:val="single" w:color="auto" w:sz="4" w:space="0"/>
      </w:pBdr>
      <w:spacing w:before="100" w:beforeAutospacing="1" w:after="100" w:afterAutospacing="1"/>
      <w:jc w:val="center"/>
    </w:pPr>
    <w:rPr>
      <w:rFonts w:eastAsia="Arial Unicode MS" w:cs="Times New Roman"/>
    </w:rPr>
  </w:style>
  <w:style w:type="character" w:customStyle="1" w:styleId="68">
    <w:name w:val="Body Text 21 Char"/>
    <w:link w:val="69"/>
    <w:qFormat/>
    <w:uiPriority w:val="0"/>
    <w:rPr>
      <w:rFonts w:ascii="仿宋_GB2312" w:eastAsia="仿宋体"/>
      <w:sz w:val="24"/>
    </w:rPr>
  </w:style>
  <w:style w:type="paragraph" w:customStyle="1" w:styleId="69">
    <w:name w:val="Body Text 21"/>
    <w:basedOn w:val="1"/>
    <w:link w:val="68"/>
    <w:qFormat/>
    <w:uiPriority w:val="0"/>
    <w:pPr>
      <w:widowControl w:val="0"/>
      <w:adjustRightInd w:val="0"/>
      <w:jc w:val="both"/>
      <w:textAlignment w:val="baseline"/>
    </w:pPr>
    <w:rPr>
      <w:rFonts w:ascii="仿宋_GB2312" w:eastAsia="仿宋体" w:hAnsiTheme="minorHAnsi" w:cstheme="minorBidi"/>
      <w:kern w:val="2"/>
      <w:szCs w:val="22"/>
    </w:rPr>
  </w:style>
  <w:style w:type="paragraph" w:customStyle="1" w:styleId="70">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Cs w:val="21"/>
    </w:rPr>
  </w:style>
  <w:style w:type="paragraph" w:customStyle="1" w:styleId="71">
    <w:name w:val="中文报告书样式"/>
    <w:basedOn w:val="1"/>
    <w:qFormat/>
    <w:uiPriority w:val="0"/>
    <w:pPr>
      <w:widowControl w:val="0"/>
      <w:adjustRightInd w:val="0"/>
      <w:spacing w:line="480" w:lineRule="atLeast"/>
      <w:ind w:firstLine="482"/>
      <w:jc w:val="both"/>
      <w:textAlignment w:val="baseline"/>
    </w:pPr>
    <w:rPr>
      <w:rFonts w:cs="Times New Roman"/>
      <w:kern w:val="24"/>
      <w:szCs w:val="20"/>
    </w:rPr>
  </w:style>
  <w:style w:type="paragraph" w:customStyle="1" w:styleId="72">
    <w:name w:val="首行缩进"/>
    <w:basedOn w:val="1"/>
    <w:qFormat/>
    <w:uiPriority w:val="0"/>
    <w:pPr>
      <w:widowControl w:val="0"/>
      <w:ind w:firstLine="480" w:firstLineChars="200"/>
      <w:jc w:val="both"/>
    </w:pPr>
    <w:rPr>
      <w:rFonts w:cs="Times New Roman"/>
      <w:kern w:val="2"/>
    </w:rPr>
  </w:style>
  <w:style w:type="character" w:customStyle="1" w:styleId="73">
    <w:name w:val="Body Text 21 Char Char"/>
    <w:qFormat/>
    <w:uiPriority w:val="0"/>
    <w:rPr>
      <w:rFonts w:ascii="仿宋_GB2312" w:eastAsia="仿宋体"/>
      <w:kern w:val="2"/>
      <w:sz w:val="24"/>
    </w:rPr>
  </w:style>
  <w:style w:type="paragraph" w:customStyle="1" w:styleId="74">
    <w:name w:val="表头"/>
    <w:basedOn w:val="1"/>
    <w:link w:val="75"/>
    <w:qFormat/>
    <w:uiPriority w:val="0"/>
    <w:pPr>
      <w:widowControl w:val="0"/>
      <w:adjustRightInd w:val="0"/>
      <w:spacing w:line="320" w:lineRule="atLeast"/>
      <w:jc w:val="center"/>
      <w:textAlignment w:val="baseline"/>
    </w:pPr>
    <w:rPr>
      <w:rFonts w:eastAsia="黑体" w:cs="Times New Roman"/>
      <w:spacing w:val="-10"/>
      <w:szCs w:val="20"/>
      <w:lang w:val="zh-CN"/>
    </w:rPr>
  </w:style>
  <w:style w:type="character" w:customStyle="1" w:styleId="75">
    <w:name w:val="表头 Char"/>
    <w:link w:val="74"/>
    <w:qFormat/>
    <w:uiPriority w:val="0"/>
    <w:rPr>
      <w:rFonts w:ascii="Times New Roman" w:hAnsi="Times New Roman" w:eastAsia="黑体" w:cs="Times New Roman"/>
      <w:spacing w:val="-10"/>
      <w:kern w:val="0"/>
      <w:sz w:val="24"/>
      <w:szCs w:val="20"/>
      <w:lang w:val="zh-CN"/>
    </w:rPr>
  </w:style>
  <w:style w:type="character" w:customStyle="1" w:styleId="76">
    <w:name w:val="正文文本 Char"/>
    <w:qFormat/>
    <w:uiPriority w:val="0"/>
    <w:rPr>
      <w:rFonts w:eastAsia="宋体"/>
      <w:kern w:val="2"/>
      <w:sz w:val="24"/>
      <w:szCs w:val="24"/>
      <w:lang w:val="en-US" w:eastAsia="zh-CN" w:bidi="ar-SA"/>
    </w:rPr>
  </w:style>
  <w:style w:type="paragraph" w:customStyle="1" w:styleId="77">
    <w:name w:val="1正文--使用此"/>
    <w:basedOn w:val="1"/>
    <w:link w:val="78"/>
    <w:qFormat/>
    <w:uiPriority w:val="0"/>
    <w:pPr>
      <w:widowControl w:val="0"/>
      <w:ind w:firstLine="720" w:firstLineChars="200"/>
      <w:jc w:val="both"/>
    </w:pPr>
    <w:rPr>
      <w:rFonts w:cs="Times New Roman"/>
      <w:sz w:val="20"/>
      <w:szCs w:val="20"/>
    </w:rPr>
  </w:style>
  <w:style w:type="character" w:customStyle="1" w:styleId="78">
    <w:name w:val="1正文--使用此 Char"/>
    <w:link w:val="77"/>
    <w:qFormat/>
    <w:locked/>
    <w:uiPriority w:val="0"/>
    <w:rPr>
      <w:rFonts w:ascii="Times New Roman" w:hAnsi="Times New Roman" w:eastAsia="宋体" w:cs="Times New Roman"/>
      <w:kern w:val="0"/>
      <w:sz w:val="20"/>
      <w:szCs w:val="20"/>
    </w:rPr>
  </w:style>
  <w:style w:type="paragraph" w:customStyle="1" w:styleId="79">
    <w:name w:val="1图表标题"/>
    <w:basedOn w:val="1"/>
    <w:next w:val="77"/>
    <w:qFormat/>
    <w:uiPriority w:val="0"/>
    <w:pPr>
      <w:widowControl w:val="0"/>
      <w:snapToGrid w:val="0"/>
      <w:spacing w:line="360" w:lineRule="auto"/>
      <w:jc w:val="center"/>
    </w:pPr>
    <w:rPr>
      <w:rFonts w:cs="Times New Roman"/>
      <w:b/>
      <w:kern w:val="2"/>
      <w:szCs w:val="20"/>
    </w:rPr>
  </w:style>
  <w:style w:type="paragraph" w:customStyle="1" w:styleId="80">
    <w:name w:val="1表格内字体"/>
    <w:basedOn w:val="1"/>
    <w:qFormat/>
    <w:uiPriority w:val="0"/>
    <w:pPr>
      <w:widowControl w:val="0"/>
      <w:snapToGrid w:val="0"/>
      <w:jc w:val="center"/>
    </w:pPr>
    <w:rPr>
      <w:rFonts w:cs="Times New Roman"/>
      <w:kern w:val="2"/>
      <w:szCs w:val="21"/>
    </w:rPr>
  </w:style>
  <w:style w:type="paragraph" w:customStyle="1" w:styleId="81">
    <w:name w:val="表格文字"/>
    <w:basedOn w:val="1"/>
    <w:link w:val="82"/>
    <w:qFormat/>
    <w:uiPriority w:val="0"/>
    <w:pPr>
      <w:jc w:val="center"/>
    </w:pPr>
    <w:rPr>
      <w:rFonts w:ascii="仿宋_GB2312" w:hAnsi="Arial Black" w:eastAsia="仿宋_GB2312"/>
      <w:kern w:val="44"/>
      <w:szCs w:val="20"/>
    </w:rPr>
  </w:style>
  <w:style w:type="character" w:customStyle="1" w:styleId="82">
    <w:name w:val="表格文字 Char"/>
    <w:link w:val="81"/>
    <w:qFormat/>
    <w:uiPriority w:val="0"/>
    <w:rPr>
      <w:rFonts w:ascii="仿宋_GB2312" w:hAnsi="Arial Black" w:eastAsia="仿宋_GB2312" w:cs="宋体"/>
      <w:kern w:val="44"/>
      <w:sz w:val="24"/>
      <w:szCs w:val="20"/>
    </w:rPr>
  </w:style>
  <w:style w:type="character" w:customStyle="1" w:styleId="83">
    <w:name w:val="常用表格样式 Char1"/>
    <w:link w:val="84"/>
    <w:qFormat/>
    <w:uiPriority w:val="0"/>
    <w:rPr>
      <w:rFonts w:ascii="宋体" w:hAnsi="宋体" w:eastAsia="仿宋" w:cs="宋体"/>
      <w:color w:val="000000"/>
      <w:sz w:val="18"/>
      <w:szCs w:val="18"/>
    </w:rPr>
  </w:style>
  <w:style w:type="paragraph" w:customStyle="1" w:styleId="84">
    <w:name w:val="常用表格样式"/>
    <w:link w:val="83"/>
    <w:qFormat/>
    <w:uiPriority w:val="0"/>
    <w:pPr>
      <w:widowControl w:val="0"/>
      <w:adjustRightInd w:val="0"/>
      <w:jc w:val="center"/>
    </w:pPr>
    <w:rPr>
      <w:rFonts w:ascii="宋体" w:hAnsi="宋体" w:eastAsia="仿宋" w:cs="宋体"/>
      <w:color w:val="000000"/>
      <w:kern w:val="2"/>
      <w:sz w:val="18"/>
      <w:szCs w:val="18"/>
      <w:lang w:val="en-US" w:eastAsia="zh-CN" w:bidi="ar-SA"/>
    </w:rPr>
  </w:style>
  <w:style w:type="character" w:customStyle="1" w:styleId="85">
    <w:name w:val="样式5 Char"/>
    <w:link w:val="86"/>
    <w:qFormat/>
    <w:uiPriority w:val="0"/>
    <w:rPr>
      <w:rFonts w:eastAsia="仿宋_GB2312"/>
      <w:sz w:val="24"/>
      <w:szCs w:val="24"/>
    </w:rPr>
  </w:style>
  <w:style w:type="paragraph" w:customStyle="1" w:styleId="86">
    <w:name w:val="样式5"/>
    <w:basedOn w:val="1"/>
    <w:next w:val="1"/>
    <w:link w:val="85"/>
    <w:qFormat/>
    <w:uiPriority w:val="0"/>
    <w:pPr>
      <w:widowControl w:val="0"/>
      <w:adjustRightInd w:val="0"/>
      <w:snapToGrid w:val="0"/>
      <w:jc w:val="both"/>
      <w:textAlignment w:val="center"/>
    </w:pPr>
    <w:rPr>
      <w:rFonts w:eastAsia="仿宋_GB2312" w:asciiTheme="minorHAnsi" w:hAnsiTheme="minorHAnsi" w:cstheme="minorBidi"/>
      <w:kern w:val="2"/>
    </w:rPr>
  </w:style>
  <w:style w:type="paragraph" w:customStyle="1" w:styleId="87">
    <w:name w:val="列表2"/>
    <w:basedOn w:val="1"/>
    <w:qFormat/>
    <w:uiPriority w:val="0"/>
    <w:pPr>
      <w:widowControl w:val="0"/>
      <w:spacing w:line="360" w:lineRule="exact"/>
      <w:jc w:val="center"/>
    </w:pPr>
    <w:rPr>
      <w:rFonts w:ascii="仿宋_GB2312" w:eastAsia="仿宋_GB2312" w:cs="Times New Roman"/>
      <w:kern w:val="2"/>
    </w:rPr>
  </w:style>
  <w:style w:type="character" w:customStyle="1" w:styleId="88">
    <w:name w:val="正文01 Char Char"/>
    <w:qFormat/>
    <w:locked/>
    <w:uiPriority w:val="0"/>
    <w:rPr>
      <w:sz w:val="24"/>
    </w:rPr>
  </w:style>
  <w:style w:type="paragraph" w:customStyle="1" w:styleId="89">
    <w:name w:val="表内字体"/>
    <w:basedOn w:val="1"/>
    <w:qFormat/>
    <w:uiPriority w:val="0"/>
    <w:pPr>
      <w:widowControl w:val="0"/>
      <w:jc w:val="center"/>
    </w:pPr>
    <w:rPr>
      <w:rFonts w:eastAsia="仿宋_GB2312" w:cs="Times New Roman"/>
      <w:kern w:val="2"/>
      <w:sz w:val="28"/>
      <w:szCs w:val="20"/>
    </w:rPr>
  </w:style>
  <w:style w:type="character" w:customStyle="1" w:styleId="90">
    <w:name w:val="列表 字符1"/>
    <w:qFormat/>
    <w:uiPriority w:val="0"/>
    <w:rPr>
      <w:rFonts w:ascii="仿宋_GB2312" w:eastAsia="仿宋_GB2312"/>
      <w:kern w:val="2"/>
      <w:sz w:val="21"/>
      <w:lang w:val="en-US" w:eastAsia="zh-CN" w:bidi="ar-SA"/>
    </w:rPr>
  </w:style>
  <w:style w:type="paragraph" w:customStyle="1" w:styleId="91">
    <w:name w:val="小四宋居中1.0"/>
    <w:basedOn w:val="1"/>
    <w:next w:val="1"/>
    <w:qFormat/>
    <w:uiPriority w:val="0"/>
    <w:pPr>
      <w:widowControl w:val="0"/>
      <w:spacing w:line="400" w:lineRule="exact"/>
      <w:jc w:val="center"/>
    </w:pPr>
    <w:rPr>
      <w:rFonts w:cs="Times New Roman"/>
      <w:kern w:val="2"/>
    </w:rPr>
  </w:style>
  <w:style w:type="paragraph" w:customStyle="1" w:styleId="92">
    <w:name w:val="Table Paragraph"/>
    <w:basedOn w:val="1"/>
    <w:qFormat/>
    <w:uiPriority w:val="1"/>
    <w:pPr>
      <w:widowControl w:val="0"/>
      <w:autoSpaceDE w:val="0"/>
      <w:autoSpaceDN w:val="0"/>
    </w:pPr>
    <w:rPr>
      <w:rFonts w:ascii="Arial" w:hAnsi="Arial" w:eastAsia="Arial" w:cs="Arial"/>
      <w:sz w:val="22"/>
      <w:szCs w:val="22"/>
      <w:lang w:val="zh-CN" w:bidi="zh-CN"/>
    </w:rPr>
  </w:style>
  <w:style w:type="character" w:customStyle="1" w:styleId="93">
    <w:name w:val="列表 字符"/>
    <w:qFormat/>
    <w:uiPriority w:val="0"/>
    <w:rPr>
      <w:rFonts w:ascii="仿宋_GB2312" w:eastAsia="仿宋_GB2312"/>
      <w:kern w:val="2"/>
      <w:sz w:val="21"/>
      <w:lang w:val="en-US" w:eastAsia="zh-CN" w:bidi="ar-SA"/>
    </w:rPr>
  </w:style>
  <w:style w:type="paragraph" w:customStyle="1" w:styleId="94">
    <w:name w:val="Char Char Char Char"/>
    <w:basedOn w:val="1"/>
    <w:qFormat/>
    <w:uiPriority w:val="0"/>
    <w:pPr>
      <w:widowControl w:val="0"/>
      <w:spacing w:before="20" w:beforeLines="20" w:line="440" w:lineRule="atLeast"/>
      <w:ind w:firstLine="200" w:firstLineChars="200"/>
      <w:jc w:val="both"/>
    </w:pPr>
    <w:rPr>
      <w:rFonts w:cs="Times New Roman"/>
      <w:kern w:val="2"/>
    </w:rPr>
  </w:style>
  <w:style w:type="character" w:customStyle="1" w:styleId="95">
    <w:name w:val="样式16 Char"/>
    <w:link w:val="96"/>
    <w:qFormat/>
    <w:uiPriority w:val="0"/>
    <w:rPr>
      <w:szCs w:val="28"/>
    </w:rPr>
  </w:style>
  <w:style w:type="paragraph" w:customStyle="1" w:styleId="96">
    <w:name w:val="样式16"/>
    <w:basedOn w:val="1"/>
    <w:link w:val="95"/>
    <w:qFormat/>
    <w:uiPriority w:val="0"/>
    <w:pPr>
      <w:widowControl w:val="0"/>
      <w:adjustRightInd w:val="0"/>
      <w:snapToGrid w:val="0"/>
      <w:ind w:firstLine="200" w:firstLineChars="200"/>
      <w:jc w:val="both"/>
    </w:pPr>
    <w:rPr>
      <w:rFonts w:asciiTheme="minorHAnsi" w:hAnsiTheme="minorHAnsi" w:eastAsiaTheme="minorEastAsia" w:cstheme="minorBidi"/>
      <w:kern w:val="2"/>
      <w:sz w:val="21"/>
      <w:szCs w:val="28"/>
    </w:rPr>
  </w:style>
  <w:style w:type="character" w:customStyle="1" w:styleId="97">
    <w:name w:val="页脚 Char"/>
    <w:qFormat/>
    <w:uiPriority w:val="99"/>
    <w:rPr>
      <w:kern w:val="2"/>
      <w:sz w:val="18"/>
      <w:szCs w:val="18"/>
    </w:rPr>
  </w:style>
  <w:style w:type="character" w:customStyle="1" w:styleId="98">
    <w:name w:val="font31"/>
    <w:qFormat/>
    <w:uiPriority w:val="0"/>
    <w:rPr>
      <w:rFonts w:hint="eastAsia" w:ascii="宋体" w:hAnsi="宋体" w:eastAsia="宋体"/>
      <w:color w:val="000000"/>
      <w:sz w:val="22"/>
      <w:szCs w:val="22"/>
      <w:u w:val="none"/>
    </w:rPr>
  </w:style>
  <w:style w:type="paragraph" w:customStyle="1" w:styleId="99">
    <w:name w:val="Char Char Char Char Char Char Char"/>
    <w:basedOn w:val="1"/>
    <w:qFormat/>
    <w:uiPriority w:val="0"/>
    <w:pPr>
      <w:widowControl w:val="0"/>
      <w:jc w:val="both"/>
    </w:pPr>
    <w:rPr>
      <w:rFonts w:cs="Times New Roman"/>
      <w:kern w:val="2"/>
    </w:rPr>
  </w:style>
  <w:style w:type="character" w:customStyle="1" w:styleId="100">
    <w:name w:val="正文16 Char"/>
    <w:link w:val="101"/>
    <w:qFormat/>
    <w:locked/>
    <w:uiPriority w:val="0"/>
    <w:rPr>
      <w:sz w:val="24"/>
      <w:szCs w:val="24"/>
    </w:rPr>
  </w:style>
  <w:style w:type="paragraph" w:customStyle="1" w:styleId="101">
    <w:name w:val="正文16"/>
    <w:basedOn w:val="1"/>
    <w:link w:val="100"/>
    <w:qFormat/>
    <w:uiPriority w:val="0"/>
    <w:pPr>
      <w:adjustRightInd w:val="0"/>
      <w:snapToGrid w:val="0"/>
      <w:ind w:firstLine="480" w:firstLineChars="200"/>
      <w:jc w:val="both"/>
    </w:pPr>
    <w:rPr>
      <w:rFonts w:asciiTheme="minorHAnsi" w:hAnsiTheme="minorHAnsi" w:eastAsiaTheme="minorEastAsia" w:cstheme="minorBidi"/>
      <w:kern w:val="2"/>
    </w:rPr>
  </w:style>
  <w:style w:type="character" w:customStyle="1" w:styleId="102">
    <w:name w:val="列表 Char2"/>
    <w:qFormat/>
    <w:uiPriority w:val="0"/>
    <w:rPr>
      <w:rFonts w:ascii="仿宋_GB2312" w:eastAsia="仿宋_GB2312"/>
      <w:kern w:val="2"/>
      <w:sz w:val="21"/>
    </w:rPr>
  </w:style>
  <w:style w:type="character" w:customStyle="1" w:styleId="103">
    <w:name w:val="纯文本 Char"/>
    <w:qFormat/>
    <w:locked/>
    <w:uiPriority w:val="99"/>
    <w:rPr>
      <w:rFonts w:ascii="宋体" w:hAnsi="Courier New" w:cs="Courier New"/>
      <w:sz w:val="24"/>
      <w:szCs w:val="21"/>
    </w:rPr>
  </w:style>
  <w:style w:type="paragraph" w:customStyle="1" w:styleId="104">
    <w:name w:val="1表格"/>
    <w:basedOn w:val="1"/>
    <w:qFormat/>
    <w:uiPriority w:val="0"/>
    <w:pPr>
      <w:snapToGrid w:val="0"/>
      <w:jc w:val="center"/>
      <w:outlineLvl w:val="4"/>
    </w:pPr>
    <w:rPr>
      <w:bCs/>
      <w:spacing w:val="4"/>
      <w:sz w:val="21"/>
    </w:rPr>
  </w:style>
  <w:style w:type="paragraph" w:styleId="105">
    <w:name w:val="List Paragraph"/>
    <w:basedOn w:val="1"/>
    <w:qFormat/>
    <w:uiPriority w:val="34"/>
    <w:pPr>
      <w:widowControl w:val="0"/>
      <w:ind w:firstLine="420" w:firstLineChars="200"/>
      <w:jc w:val="both"/>
    </w:pPr>
    <w:rPr>
      <w:rFonts w:cs="Times New Roman"/>
      <w:kern w:val="2"/>
      <w:szCs w:val="21"/>
    </w:rPr>
  </w:style>
  <w:style w:type="character" w:customStyle="1" w:styleId="106">
    <w:name w:val="fontstyle21"/>
    <w:qFormat/>
    <w:uiPriority w:val="0"/>
    <w:rPr>
      <w:rFonts w:hint="eastAsia" w:ascii="宋体" w:hAnsi="宋体" w:eastAsia="宋体"/>
      <w:color w:val="000000"/>
      <w:sz w:val="22"/>
      <w:szCs w:val="22"/>
    </w:rPr>
  </w:style>
  <w:style w:type="paragraph" w:customStyle="1" w:styleId="107">
    <w:name w:val="Char"/>
    <w:basedOn w:val="1"/>
    <w:qFormat/>
    <w:uiPriority w:val="0"/>
    <w:pPr>
      <w:widowControl w:val="0"/>
      <w:jc w:val="center"/>
    </w:pPr>
    <w:rPr>
      <w:rFonts w:cs="Times New Roman"/>
      <w:kern w:val="2"/>
      <w:sz w:val="21"/>
    </w:rPr>
  </w:style>
  <w:style w:type="character" w:customStyle="1" w:styleId="108">
    <w:name w:val="font01"/>
    <w:qFormat/>
    <w:uiPriority w:val="0"/>
    <w:rPr>
      <w:rFonts w:ascii="仿宋" w:hAnsi="仿宋" w:eastAsia="仿宋" w:cs="仿宋"/>
      <w:color w:val="000000"/>
      <w:sz w:val="24"/>
      <w:szCs w:val="24"/>
      <w:u w:val="none"/>
    </w:rPr>
  </w:style>
  <w:style w:type="paragraph" w:customStyle="1" w:styleId="109">
    <w:name w:val="修订1"/>
    <w:unhideWhenUsed/>
    <w:qFormat/>
    <w:uiPriority w:val="99"/>
    <w:rPr>
      <w:rFonts w:ascii="Times New Roman" w:hAnsi="Times New Roman" w:eastAsia="宋体" w:cs="宋体"/>
      <w:sz w:val="24"/>
      <w:szCs w:val="24"/>
      <w:lang w:val="en-US" w:eastAsia="zh-CN" w:bidi="ar-SA"/>
    </w:rPr>
  </w:style>
  <w:style w:type="paragraph" w:customStyle="1" w:styleId="110">
    <w:name w:val="修订2"/>
    <w:unhideWhenUsed/>
    <w:qFormat/>
    <w:uiPriority w:val="99"/>
    <w:rPr>
      <w:rFonts w:ascii="Times New Roman" w:hAnsi="Times New Roman" w:eastAsia="宋体" w:cs="宋体"/>
      <w:sz w:val="24"/>
      <w:szCs w:val="24"/>
      <w:lang w:val="en-US" w:eastAsia="zh-CN" w:bidi="ar-SA"/>
    </w:rPr>
  </w:style>
  <w:style w:type="character" w:customStyle="1" w:styleId="111">
    <w:name w:val="正文1 Char"/>
    <w:link w:val="56"/>
    <w:qFormat/>
    <w:uiPriority w:val="0"/>
    <w:rPr>
      <w:rFonts w:ascii="Times New Roman" w:hAnsi="Times New Roman" w:eastAsia="宋体" w:cs="宋体"/>
      <w:spacing w:val="4"/>
      <w:kern w:val="0"/>
      <w:sz w:val="24"/>
      <w:szCs w:val="21"/>
    </w:rPr>
  </w:style>
  <w:style w:type="character" w:customStyle="1" w:styleId="112">
    <w:name w:val="表格文字 Char Char"/>
    <w:qFormat/>
    <w:uiPriority w:val="0"/>
    <w:rPr>
      <w:rFonts w:ascii="Times New Roman" w:hAnsi="Times New Roman" w:eastAsia="宋体"/>
      <w:kern w:val="44"/>
    </w:rPr>
  </w:style>
  <w:style w:type="paragraph" w:customStyle="1" w:styleId="113">
    <w:name w:val="正文（首行缩进）"/>
    <w:basedOn w:val="1"/>
    <w:qFormat/>
    <w:uiPriority w:val="0"/>
    <w:pPr>
      <w:widowControl w:val="0"/>
      <w:snapToGrid w:val="0"/>
      <w:spacing w:line="360" w:lineRule="auto"/>
      <w:ind w:firstLine="480"/>
    </w:pPr>
    <w:rPr>
      <w:rFonts w:cs="Times New Roman"/>
      <w:sz w:val="21"/>
      <w:szCs w:val="21"/>
    </w:rPr>
  </w:style>
  <w:style w:type="character" w:customStyle="1" w:styleId="114">
    <w:name w:val="标题 3 字符1"/>
    <w:qFormat/>
    <w:uiPriority w:val="0"/>
    <w:rPr>
      <w:rFonts w:ascii="Times New Roman" w:hAnsi="Times New Roman" w:eastAsia="宋体" w:cs="Times New Roman"/>
      <w:b/>
      <w:bCs/>
      <w:sz w:val="32"/>
      <w:szCs w:val="32"/>
    </w:rPr>
  </w:style>
  <w:style w:type="character" w:customStyle="1" w:styleId="115">
    <w:name w:val="批注文字 字符2"/>
    <w:qFormat/>
    <w:uiPriority w:val="99"/>
    <w:rPr>
      <w:kern w:val="2"/>
      <w:sz w:val="21"/>
      <w:szCs w:val="24"/>
    </w:rPr>
  </w:style>
  <w:style w:type="paragraph" w:customStyle="1" w:styleId="116">
    <w:name w:val="No Spacing1"/>
    <w:qFormat/>
    <w:uiPriority w:val="0"/>
    <w:pPr>
      <w:widowControl w:val="0"/>
      <w:jc w:val="center"/>
    </w:pPr>
    <w:rPr>
      <w:rFonts w:ascii="宋体" w:hAnsi="Courier New" w:eastAsia="仿宋_GB2312" w:cs="Times New Roman"/>
      <w:kern w:val="2"/>
      <w:sz w:val="24"/>
      <w:szCs w:val="22"/>
      <w:lang w:val="en-US" w:eastAsia="zh-CN" w:bidi="ar-SA"/>
    </w:rPr>
  </w:style>
  <w:style w:type="character" w:styleId="117">
    <w:name w:val="Placeholder Text"/>
    <w:basedOn w:val="29"/>
    <w:semiHidden/>
    <w:qFormat/>
    <w:uiPriority w:val="99"/>
    <w:rPr>
      <w:color w:val="808080"/>
    </w:rPr>
  </w:style>
  <w:style w:type="paragraph" w:customStyle="1" w:styleId="118">
    <w:name w:val="修订3"/>
    <w:hidden/>
    <w:semiHidden/>
    <w:qFormat/>
    <w:uiPriority w:val="99"/>
    <w:rPr>
      <w:rFonts w:ascii="Times New Roman" w:hAnsi="Times New Roman" w:eastAsia="宋体" w:cs="宋体"/>
      <w:sz w:val="24"/>
      <w:szCs w:val="24"/>
      <w:lang w:val="en-US" w:eastAsia="zh-CN" w:bidi="ar-SA"/>
    </w:rPr>
  </w:style>
  <w:style w:type="paragraph" w:customStyle="1" w:styleId="119">
    <w:name w:val="表格内文字"/>
    <w:basedOn w:val="1"/>
    <w:qFormat/>
    <w:uiPriority w:val="0"/>
    <w:pPr>
      <w:widowControl w:val="0"/>
      <w:adjustRightInd w:val="0"/>
      <w:snapToGrid w:val="0"/>
      <w:contextualSpacing/>
      <w:jc w:val="center"/>
    </w:pPr>
    <w:rPr>
      <w:bCs/>
      <w:kern w:val="2"/>
      <w:sz w:val="18"/>
      <w:szCs w:val="18"/>
    </w:rPr>
  </w:style>
  <w:style w:type="paragraph" w:customStyle="1" w:styleId="120">
    <w:name w:val="Default"/>
    <w:basedOn w:val="1"/>
    <w:qFormat/>
    <w:uiPriority w:val="0"/>
    <w:pPr>
      <w:widowControl w:val="0"/>
      <w:autoSpaceDE w:val="0"/>
      <w:autoSpaceDN w:val="0"/>
      <w:adjustRightInd w:val="0"/>
      <w:snapToGrid w:val="0"/>
    </w:pPr>
    <w:rPr>
      <w:rFonts w:cs="Times New Roman"/>
      <w:color w:val="FF0000"/>
      <w:kern w:val="2"/>
      <w:sz w:val="18"/>
      <w:szCs w:val="18"/>
    </w:rPr>
  </w:style>
  <w:style w:type="paragraph" w:customStyle="1" w:styleId="121">
    <w:name w:val="！正文"/>
    <w:basedOn w:val="1"/>
    <w:qFormat/>
    <w:uiPriority w:val="0"/>
    <w:pPr>
      <w:widowControl w:val="0"/>
      <w:adjustRightInd w:val="0"/>
      <w:snapToGrid w:val="0"/>
      <w:spacing w:line="360" w:lineRule="auto"/>
      <w:ind w:firstLine="200" w:firstLineChars="200"/>
      <w:jc w:val="both"/>
    </w:pPr>
    <w:rPr>
      <w:rFonts w:cs="Times New Roman"/>
      <w:kern w:val="2"/>
      <w:sz w:val="21"/>
      <w:szCs w:val="21"/>
    </w:rPr>
  </w:style>
  <w:style w:type="paragraph" w:customStyle="1" w:styleId="122">
    <w:name w:val="图表标题"/>
    <w:basedOn w:val="1"/>
    <w:qFormat/>
    <w:uiPriority w:val="0"/>
    <w:pPr>
      <w:autoSpaceDE w:val="0"/>
      <w:autoSpaceDN w:val="0"/>
      <w:adjustRightInd w:val="0"/>
      <w:snapToGrid w:val="0"/>
      <w:jc w:val="center"/>
    </w:pPr>
    <w:rPr>
      <w:rFonts w:cs="Times New Roman"/>
      <w:b/>
      <w:kern w:val="2"/>
      <w:sz w:val="21"/>
      <w:szCs w:val="21"/>
    </w:rPr>
  </w:style>
  <w:style w:type="paragraph" w:customStyle="1" w:styleId="123">
    <w:name w:val="修订4"/>
    <w:hidden/>
    <w:semiHidden/>
    <w:qFormat/>
    <w:uiPriority w:val="99"/>
    <w:rPr>
      <w:rFonts w:ascii="Times New Roman" w:hAnsi="Times New Roman" w:eastAsia="宋体" w:cs="宋体"/>
      <w:sz w:val="24"/>
      <w:szCs w:val="24"/>
      <w:lang w:val="en-US" w:eastAsia="zh-CN" w:bidi="ar-SA"/>
    </w:rPr>
  </w:style>
  <w:style w:type="paragraph" w:customStyle="1" w:styleId="124">
    <w:name w:val="图表文字"/>
    <w:basedOn w:val="1"/>
    <w:autoRedefine/>
    <w:qFormat/>
    <w:uiPriority w:val="0"/>
    <w:pPr>
      <w:spacing w:line="300" w:lineRule="exact"/>
      <w:jc w:val="center"/>
    </w:pPr>
    <w:rPr>
      <w:bCs/>
      <w:szCs w:val="20"/>
    </w:rPr>
  </w:style>
  <w:style w:type="paragraph" w:customStyle="1" w:styleId="125">
    <w:name w:val="样式4"/>
    <w:basedOn w:val="1"/>
    <w:autoRedefine/>
    <w:qFormat/>
    <w:uiPriority w:val="0"/>
    <w:pPr>
      <w:spacing w:beforeLines="50" w:afterLines="50" w:line="500" w:lineRule="exact"/>
      <w:jc w:val="center"/>
    </w:pPr>
    <w:rPr>
      <w:rFonts w:ascii="黑体" w:hAnsi="宋体"/>
      <w:b/>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7FDDC-599A-4B17-8D85-23A1E0F2BA3E}">
  <ds:schemaRefs/>
</ds:datastoreItem>
</file>

<file path=docProps/app.xml><?xml version="1.0" encoding="utf-8"?>
<Properties xmlns="http://schemas.openxmlformats.org/officeDocument/2006/extended-properties" xmlns:vt="http://schemas.openxmlformats.org/officeDocument/2006/docPropsVTypes">
  <Template>Normal</Template>
  <Pages>36</Pages>
  <Words>16734</Words>
  <Characters>18744</Characters>
  <Lines>2811</Lines>
  <Paragraphs>2146</Paragraphs>
  <TotalTime>30</TotalTime>
  <ScaleCrop>false</ScaleCrop>
  <LinksUpToDate>false</LinksUpToDate>
  <CharactersWithSpaces>18797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2025-03-03T07:53:00Z</dcterms:created>
  <dc:creator>User</dc:creator>
  <cp:lastModifiedBy>N.s.</cp:lastModifiedBy>
  <cp:lastPrinted>2025-06-03T01:49:00Z</cp:lastPrinted>
  <dcterms:modified xsi:type="dcterms:W3CDTF">2025-07-01T05:56:04Z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eyJoZGlkIjoiNWQ1YmUzZjU2ZDBjNmEzNzEzYjQ4YjljMjUzZmQyNmEiLCJ1c2VySWQiOiIxMzMzNDc0MDcwIn0=</vt:lpwstr>
  </property>
  <property fmtid="{D5CDD505-2E9C-101B-9397-08002B2CF9AE}" pid="3" name="KSOProductBuildVer">
    <vt:lpwstr>2052-12.1.0.21541</vt:lpwstr>
  </property>
  <property fmtid="{D5CDD505-2E9C-101B-9397-08002B2CF9AE}" pid="4" name="ICV">
    <vt:lpwstr>C02B15D23FC24919A8D54A4CC186317D_13</vt:lpwstr>
  </property>
</Properties>
</file>