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122</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2D7421E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关于琥珀桥高新材料技术（江苏）有限公司</w:t>
      </w:r>
    </w:p>
    <w:p w14:paraId="659B919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稳定同位素-高丰度氘水提纯研发项目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琥珀桥高新材料技术（江苏）有限公司：</w:t>
      </w:r>
    </w:p>
    <w:p w14:paraId="3F99E7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全大工程科技有限公司编制的《琥珀桥高新材料技术（江苏）有限公司稳定同位素-高丰度氘水提纯研发项目环境影响报告表》（以下称“报告表”）和南京长三角绿色发展研究院有限公司的技术评估意见（绿院评估〔2026〕271号）等相关材料均悉。经研究，审批意见如下：</w:t>
      </w:r>
    </w:p>
    <w:p w14:paraId="01C458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1F40D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梅村街道群兴路8号1楼，总投资1000万元，建设琥珀桥高新材料技术（江苏）有限公司稳定同位素-高丰度氘水提纯研发项目，以氘代苯混合液为研究对象，通过燃烧转化工艺研发制备35%-45%高丰度氘水，获取氘水转化参数，完成实验室小试及工艺验证研究，年研发60次，年产研发产物氘水（混合水溶液）18.36吨。项目投产后的研发方案、规模、研发工艺、设备的类型和数量必须符合报告表内容。</w:t>
      </w:r>
    </w:p>
    <w:p w14:paraId="663B6C9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580BA5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贯彻节约用水原则，减少外排废水量。排水系统实施雨污分流；生活污水经化粪池预处理达到《污水综合排放标准》（GB8978-1996）表4中的三级标准和《污水排入城镇下水道水质标准》（GB/T31962-2015）表1中标准后，接入梅村水处理厂集中处理。本项目只允许设置1个污水排放口。</w:t>
      </w:r>
    </w:p>
    <w:p w14:paraId="01BF2D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lang w:val="en-US" w:eastAsia="zh-CN"/>
        </w:rPr>
        <w:t>.进一步优化废气处理方案，严格控制无组织废气排放，确保各类工艺废气的收集、处理效率及排气筒高度等措施均达到报告表提出的要求。燃烧提纯、分析检测、危险废物暂存间废气经有效收集，采用二级活性炭吸附处理后，尾气通过28米高排气筒FQ-1排放。本项目设排气筒1根。</w:t>
      </w:r>
    </w:p>
    <w:p w14:paraId="03A2E4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1BBED3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本项目产生的非甲烷总烃、甲醇执行《大气污染物综合排放标准》（DB32/4042-2021）表1和表3相关标准。厂区内非甲烷总烃无组织排放监控点浓度执行《大气污染物综合排放标准》（DB32/4041-2021）表2相关标准。</w:t>
      </w:r>
    </w:p>
    <w:p w14:paraId="200459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lang w:val="en-US" w:eastAsia="zh-CN"/>
        </w:rPr>
        <w:t>.选用低噪声设备，合理布局并采取厂房隔声、距离衰减等降噪措施，确保各厂界可达到《工业企业厂界环境噪声排放标准》(GB12348-2008)中3类标准。</w:t>
      </w:r>
    </w:p>
    <w:p w14:paraId="210069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lang w:val="en-US" w:eastAsia="zh-CN"/>
        </w:rPr>
        <w:t>.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25728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lang w:val="en-US" w:eastAsia="zh-CN"/>
        </w:rPr>
        <w:t>.建立环境风险应急管理体系与环境安全管理制度，严格落实报告表环境风险分析篇章中的事故应急防范、减缓措施，防止生产过程、贮运过程及污染治理措施事故发生。按照《企事业单位和工业园区突发环境事件应急预案编制导则》（DB32/T3795-2020）的要求编制企业突发环境事件应急预案，并报生态环境部门备案。</w:t>
      </w:r>
    </w:p>
    <w:p w14:paraId="35BF69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lang w:val="en-US" w:eastAsia="zh-CN"/>
        </w:rPr>
        <w:t>.按《江苏省排污口设置及规范化整治管理办法》（苏环控〔1997〕122号）的要求规范化设置各类排污口和标识。</w:t>
      </w:r>
    </w:p>
    <w:p w14:paraId="3FC870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7</w:t>
      </w:r>
      <w:bookmarkStart w:id="0" w:name="_GoBack"/>
      <w:bookmarkEnd w:id="0"/>
      <w:r>
        <w:rPr>
          <w:rFonts w:hint="default" w:ascii="Times New Roman" w:hAnsi="Times New Roman" w:eastAsia="仿宋" w:cs="Times New Roman"/>
          <w:sz w:val="32"/>
          <w:szCs w:val="32"/>
          <w:lang w:val="en-US" w:eastAsia="zh-CN"/>
        </w:rPr>
        <w:t>.根据报告表推荐，本项目车间外周边50米范围，不得新建居民住宅区、学校、医院等环境保护敏感点。</w:t>
      </w:r>
    </w:p>
    <w:p w14:paraId="36AB86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322F44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1.大气污染物（有组织）：（本项目）非甲烷总烃≤0.0021吨（其中甲醇≤0.0002吨）。</w:t>
      </w:r>
    </w:p>
    <w:p w14:paraId="4741A5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2.水污染物（接管考核量）：（本项目）废水排放量≤79.36吨、COD≤0.0317吨、SS≤0.0238吨、氨氮（生活）≤0.0032吨、总磷（生活）≤0.0004吨、总氮（生活）≤0.0048吨。</w:t>
      </w:r>
    </w:p>
    <w:p w14:paraId="304E41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EB05A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5B7334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05FF1D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六、开展内部污染防治设施安全风险辨识，健全污染防治设施稳定运行和管理责任制度，严格依据标准规范建设环境治理设施，确保环境治理设施安全、稳定、有效运行。</w:t>
      </w:r>
    </w:p>
    <w:p w14:paraId="6B4BD6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（项目代码：2601-320214-89-05-596013）</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日</w:t>
      </w:r>
    </w:p>
    <w:p w14:paraId="754013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D6C1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109D1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97C58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A9562F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EE04C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7BBBCB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AA96AA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E849CD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A2F8C9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7299E4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3D41C8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C6DE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B25E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A115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A5CC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78CE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A78E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7E55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89F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9B9F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628B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A557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7CA5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C22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16C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E97B9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ACE5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AF3E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85F6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0CE3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B5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8B86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2A1D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A26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3D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AA1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0AA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D33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BCA0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B79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969F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19F2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E3A6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777B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51E0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A509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2DB0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7F7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4519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DF27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3A77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11D5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F3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B58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CE54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377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DA27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5012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50B3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E2E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A6EF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75DCB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3D8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79BE0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DA9B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6BC8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5A44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7B7A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6FDD9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0D39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830E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204B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BFB5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F26C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A34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7987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DBFCB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ECA1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5E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0DA7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A88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978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0A80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3F4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5E98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ECAA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7ABA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C69D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F9F5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0BAE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37A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AD1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5B67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3972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58F0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CC5D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857C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F34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0D92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4211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016C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A7AA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B3D9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B10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F12B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6B65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A0D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73C6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E69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D7D5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5B4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576B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E02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0D0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4F3B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100A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0E01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DF3B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E430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AA7B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38C2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926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DCBF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004E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5F4D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796E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96A0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2A71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7A7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2165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A9B4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5505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0439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E7D6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6297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7CE8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8866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7675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B443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424C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D5B5A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B6D8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8D4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33C4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F3C2E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31DC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8707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9B180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B05F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965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3867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889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E81C9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502B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0602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1F4F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AB94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ECFF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6276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12AA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0998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8B62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FA05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9C384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6FA9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7B3A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D7FF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0501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EF8D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9FF1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E34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940E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C92D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A50F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BA3C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D0BE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725E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E326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43E5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65D0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8FBC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9361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0BA8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54C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696E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1863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8A2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BC9B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F555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AF67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8B47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3B76B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8BD4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82931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C88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275D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F57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B93D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B5E6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4D14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2AAC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EC1D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C19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E276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78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7D57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DACD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D1B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F8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4C35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7D5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107A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9D42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24B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0D219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2072</Words>
  <Characters>2290</Characters>
  <Lines>18</Lines>
  <Paragraphs>5</Paragraphs>
  <TotalTime>57</TotalTime>
  <ScaleCrop>false</ScaleCrop>
  <LinksUpToDate>false</LinksUpToDate>
  <CharactersWithSpaces>2365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2026-07-01T02:40:51Z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