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118</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4E7AA6F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关于纽迪希亚制药（无锡）有限公司</w:t>
      </w:r>
    </w:p>
    <w:p w14:paraId="4F30DE7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纽迪希亚特殊医学营养食品年扩产</w:t>
      </w:r>
    </w:p>
    <w:p w14:paraId="45134F8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6000万瓶项目环境影响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纽迪希亚制药（无锡）有限公司：</w:t>
      </w:r>
    </w:p>
    <w:p w14:paraId="2B2E63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你单位报送的由南京博环环保有限公司编制的《纽迪希亚制药（无锡）有限公司纽迪希亚特殊医学营养食品年扩产6000万瓶项目环境影响报告表》（以下称“报告表”）等相关材料均悉。经研究，审批意见如下：</w:t>
      </w:r>
    </w:p>
    <w:p w14:paraId="69E3CC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2926E3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江溪街道鑫明路17号，总投资16212万元，建设纽迪希亚特殊医学营养食品年扩产6000万瓶项目，全厂形成年产医用导管6200万套（包含医用导管5200万米）、瓶装肠内营养液11500万瓶、特殊医学营养食品2万吨的生产能力。项目投产后的产品、规模、生产工艺、设备的类型和数量必须符合报告表内容。</w:t>
      </w:r>
    </w:p>
    <w:p w14:paraId="55E0E9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4D6C81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218B78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巴氏灭菌废水、高温杀菌废水、设备管道清洗废水、清洗溶液稀释废水、洁净区清洗废水、非洁净区清洗废水、实验室清洗废水经厂区污水处理站预处理后，达到无锡新区再生水回用示范工程协议接管标准后，通过DW002接管至无锡新区再生水回用示范工程进行深度处理，制成再生水后回用；生活污水经化粪池预处理后与洗衣房废水、纯水制备浓水、软水制备浓水、空调循环冷却系统定期排水一并达《食品加工制造业水污染物排放标准》（GB 46817—2025）表1中标准后，接入新城水处理有限公司集中处理。该项目利用原有的一个污水排放口，不得增设排污口。</w:t>
      </w:r>
    </w:p>
    <w:p w14:paraId="35BA9D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喷码、清洗、实验室废气经有效收集，采用二级活性炭处理装置处理后，尾气通过25米高排气筒DA005排放。本项目共设排气筒1根，依托现有。</w:t>
      </w:r>
    </w:p>
    <w:p w14:paraId="688912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70439D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喷码、清洗、实验工序产生的非甲烷总烃执行《印刷工业大气污染物排放标准》（DB32/4438-2022）表1相关标准以及《大气污染物综合排放标准》（DB32/4041-2021）表3相关标准，甲醇执行《大气污染物综合排放标准》（DB32/4041-2021）表1、表3中标准。厂区内非甲烷总烃无组织排放监控点浓度执行《大气污染物综合排放标准》（DB32/4041-2021）表2相关标准。</w:t>
      </w:r>
    </w:p>
    <w:p w14:paraId="038888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东、南、北厂界噪声达到《工业企业厂界环境噪声排放标准》（GB12348-2008）3类排放标准、西厂界噪声达到《工业企业厂界环境噪声排放标准》（GB12348-2008）4类排放标准。</w:t>
      </w:r>
    </w:p>
    <w:p w14:paraId="4BB179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一般工业固体废物贮存和填埋污染控制标准》（GB18599-2020）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23E534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60197F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4FC7FA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8.根据报告表推荐，ECN新车间喷码、清洗、实验室生产区外周边50米、FSMP车间喷码、清洗生产区外周边50米范围，不得新建居民住宅区、学校、医院等环境保护敏感点。</w:t>
      </w:r>
    </w:p>
    <w:p w14:paraId="05CBEF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65F243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1.大气污染物（有组织）：（本项目）非甲烷总烃≤0.0283吨（包括甲醇≤0.0249 吨）；（全厂）非甲烷总烃≤2.0501吨（包括甲醇≤0.075吨）、氨≤0.3568吨、硫化氢≤0.0225吨。</w:t>
      </w:r>
    </w:p>
    <w:p w14:paraId="21F5FB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2.水污染物（接管考核量/最终外排量）：</w:t>
      </w:r>
    </w:p>
    <w:p w14:paraId="097780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（本项目）（生活）废水排放量≤4778吨、COD≤1.8272吨、SS≤0.9136吨、氨氮≤0.0985吨、总氮≤0.1378吨、总磷≤0.0158吨，（生产）废水排放量≤9738吨/9738吨、COD≤0.2921吨/0.1948吨、SS≤0.1948吨/0.0487吨；</w:t>
      </w:r>
    </w:p>
    <w:p w14:paraId="740249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（全厂）（生活）废水排放量≤99973吨、COD≤67.9893吨、SS≤36.9368吨、氨氮≤2.9306吨、总氮≤4.4518 吨、总磷≤0.4568 吨、动植物油≤0.273吨，（生产）废水排放量≤664817吨/664817吨、COD≤19.9445吨/13.2963吨、SS≤13.2963吨/3.3241吨。</w:t>
      </w:r>
    </w:p>
    <w:p w14:paraId="336875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48E1D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19BFB6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0B3823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w:t>
      </w:r>
    </w:p>
    <w:p w14:paraId="47F99F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（项目代码：2511-320214-89-02-790403）</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26</w:t>
      </w:r>
      <w:r>
        <w:rPr>
          <w:rFonts w:hint="default" w:ascii="Times New Roman" w:hAnsi="Times New Roman" w:eastAsia="仿宋" w:cs="Times New Roman"/>
          <w:sz w:val="32"/>
          <w:szCs w:val="32"/>
        </w:rPr>
        <w:t>日</w:t>
      </w:r>
    </w:p>
    <w:p w14:paraId="1C6DE4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B25E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A115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A5CC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78CE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A78E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7E55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089F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9B9F6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628B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A557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7CA5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0C22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116C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E97B9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ACE5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AF3E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85F6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0CE3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B5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8B86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2A1D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4928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C896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CCCFB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AE3D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6E56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921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CED79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EE76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22C1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38CF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9F44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BD58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7D760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68445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684F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2211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4827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BD79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E7A4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4D64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A7D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E0D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9DFF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195C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584E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2083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DAF2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A3EF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F79B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3E514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499B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1E225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C3A6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FEE8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F7F2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8CEB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C7AA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6EFFC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B7FD3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61999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AA33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8F5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2AC2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8868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72AF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D67C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468E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9A45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3B7E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3BF1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25F64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8AC7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ADC7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D64C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4476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45A6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5D9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2D66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DA8A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FB10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F12B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6B65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A0D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73C6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E698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D7D5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5B4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576B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E02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0D0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4F3B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100A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0E01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DF3B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E430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AA7B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38C2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0BA8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D54C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696EF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1863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78A2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BC9B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F555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AF67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8B47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3B76B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8BD4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82931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C88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B5E6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4D14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2AAC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EC1D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C19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E276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789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7D57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DACD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6F50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9E01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0002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516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0FD1B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BF8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4C35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7D5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107A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9D42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224B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771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C7D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B89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26</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2711</Words>
  <Characters>3079</Characters>
  <Lines>18</Lines>
  <Paragraphs>5</Paragraphs>
  <TotalTime>43</TotalTime>
  <ScaleCrop>false</ScaleCrop>
  <LinksUpToDate>false</LinksUpToDate>
  <CharactersWithSpaces>3155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2026-06-26T05:08:54Z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