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8C1045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关于江苏宣溢环境科技有限公司</w:t>
      </w:r>
    </w:p>
    <w:p w14:paraId="26F4F61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实验室建设项目环境影响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江苏宣溢环境科技有限公司：</w:t>
      </w:r>
    </w:p>
    <w:p w14:paraId="259AC5E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你单位报送的由无锡柯铭环保科技有限公司编制的《江苏宣溢环境科技有限公司实验室建设项目环境影响报告表》（以下称“报告表”）等相关材料均悉。经研究，审批意见如下：</w:t>
      </w:r>
    </w:p>
    <w:p w14:paraId="307A4A2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C6379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景贤路52号3楼，总投资1000万元，建设实验室建设项目，形成年检测样品30000个并出具检测报告10000份的检测能力。项目投产后的检测内容、规模、检测工艺、设备的类型和数量必须符合报告表内容。</w:t>
      </w:r>
    </w:p>
    <w:p w14:paraId="5B6D2B5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FB926F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贯彻节约用水原则，减少外排废水量。排水系统实施雨污分流；生活污水经化粪池预处理，与制纯废水一并达到《污水综合排放标准》（GB8978-1996）表4中的三级标准和《污水排入城镇下水道水质标准》（GB/T31962-2015）表1中标准后，接入太湖新城水处理厂集中处理。本项目只允许设置一个污水排放口。</w:t>
      </w:r>
    </w:p>
    <w:p w14:paraId="432EDE9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2.进一步优化废气处理方案，严格控制无组织废气排放，确保各类工艺废气的收集治理措施、处理效率及排气筒高度等均达到报告表提出的要求。</w:t>
      </w:r>
    </w:p>
    <w:p w14:paraId="54E93D2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检测废气经有效收集，采用“碱液喷淋+二级活性炭吸附装置”处理后，尾气通过50米高排气筒FQ1排放。</w:t>
      </w:r>
    </w:p>
    <w:p w14:paraId="1FBCFE5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检测过程产生的氮氧化物、硫酸雾、氯化氢、非甲烷总烃、二氯甲烷、三氯甲烷、四氯乙烯、甲醇执行江苏省《大气污染物综合排放标准》（DB32/4041-2021）表1中大气污染物有组织排放限值、表2中厂区内VOCs无组织排放限值和表3中单位边界大气污染物排放监控浓度限值。</w:t>
      </w:r>
    </w:p>
    <w:p w14:paraId="4C58558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本项目共设排气筒1根。</w:t>
      </w:r>
    </w:p>
    <w:p w14:paraId="68F40A0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3.选用低噪声设备，合理布局并采取有效的减振、隔声、消声等降噪措施，确保厂界噪声达到《工业企业厂界环境噪声排放标准》（GB12348-2008）2类排放标准。</w:t>
      </w:r>
    </w:p>
    <w:p w14:paraId="0EF9576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B8358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8820E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6300E27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7.根据报告表推荐，实验室外周边50米范围，不得新建居民住宅区、学校、医院等环境保护敏感点。</w:t>
      </w:r>
    </w:p>
    <w:p w14:paraId="55F6BC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B75BF0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1.大气污染物（有组织）：氮氧化物≤0.0064吨、硫酸雾≤0.0074吨、氯化氢≤0.0032吨、非甲烷总烃≤0.0059吨（包含：二氯甲烷≤0.0005吨、三氯甲烷≤0.0005吨、四氯乙烯≤0.0006吨、甲醇≤0.0007吨）。</w:t>
      </w:r>
    </w:p>
    <w:p w14:paraId="2269100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2.水污染物（接管考核量）：废水排放量≤565吨；COD≤0.2253吨、SS≤0.169吨、氨氮（生活）≤0.0225吨、总磷（生活）≤0.0028吨、总氮（生活）≤0.0282吨。</w:t>
      </w:r>
    </w:p>
    <w:p w14:paraId="0100A6E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38019C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1E41A8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6514A9C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（项目代码：2310-320214-89-01-855101）</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8E16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B864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3D41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ABC2D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CE50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27B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B7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92AB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B44E7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8773E2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39EA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E4BE7E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CB8D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C56C4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06B64F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5D4144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6E6B4E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889AE8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52DCD4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A9838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1E9755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35C2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F960D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46AE41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A39443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EC9EE6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20DD4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589D79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bookmarkStart w:id="0" w:name="_GoBack"/>
      <w:bookmarkEnd w:id="0"/>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2096</Words>
  <Characters>2315</Characters>
  <Lines>18</Lines>
  <Paragraphs>5</Paragraphs>
  <TotalTime>65</TotalTime>
  <ScaleCrop>false</ScaleCrop>
  <LinksUpToDate>false</LinksUpToDate>
  <CharactersWithSpaces>2394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2026-03-04T02:11:09Z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