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33F33">
      <w:pPr>
        <w:adjustRightInd w:val="0"/>
        <w:snapToGrid w:val="0"/>
        <w:ind w:firstLine="0" w:firstLineChars="0"/>
        <w:outlineLvl w:val="0"/>
        <w:rPr>
          <w:bCs/>
          <w:color w:val="auto"/>
          <w:sz w:val="72"/>
          <w:szCs w:val="72"/>
        </w:rPr>
      </w:pPr>
      <w:r>
        <w:rPr>
          <w:rFonts w:hint="eastAsia"/>
          <w:bCs/>
          <w:color w:val="auto"/>
          <w:sz w:val="72"/>
          <w:szCs w:val="72"/>
        </w:rPr>
        <w:t xml:space="preserve"> </w:t>
      </w:r>
    </w:p>
    <w:p w14:paraId="334C778C">
      <w:pPr>
        <w:adjustRightInd w:val="0"/>
        <w:snapToGrid w:val="0"/>
        <w:jc w:val="center"/>
        <w:outlineLvl w:val="0"/>
        <w:rPr>
          <w:bCs/>
          <w:color w:val="auto"/>
          <w:sz w:val="72"/>
          <w:szCs w:val="72"/>
        </w:rPr>
      </w:pPr>
    </w:p>
    <w:p w14:paraId="1792FE9E">
      <w:pPr>
        <w:adjustRightInd w:val="0"/>
        <w:snapToGrid w:val="0"/>
        <w:spacing w:line="240" w:lineRule="auto"/>
        <w:ind w:firstLine="0" w:firstLineChars="0"/>
        <w:jc w:val="center"/>
        <w:outlineLvl w:val="0"/>
        <w:rPr>
          <w:bCs/>
          <w:color w:val="auto"/>
          <w:sz w:val="72"/>
          <w:szCs w:val="72"/>
        </w:rPr>
      </w:pPr>
      <w:r>
        <w:rPr>
          <w:bCs/>
          <w:color w:val="auto"/>
          <w:sz w:val="72"/>
          <w:szCs w:val="72"/>
        </w:rPr>
        <w:t>建设项目环境影响报告表</w:t>
      </w:r>
    </w:p>
    <w:p w14:paraId="198A9215">
      <w:pPr>
        <w:ind w:firstLine="0" w:firstLineChars="0"/>
        <w:jc w:val="center"/>
        <w:rPr>
          <w:rFonts w:hint="eastAsia" w:eastAsia="宋体"/>
          <w:color w:val="auto"/>
          <w:sz w:val="72"/>
          <w:szCs w:val="72"/>
          <w:lang w:eastAsia="zh-CN"/>
        </w:rPr>
      </w:pPr>
      <w:r>
        <w:rPr>
          <w:rFonts w:hint="eastAsia"/>
          <w:color w:val="auto"/>
          <w:sz w:val="72"/>
          <w:szCs w:val="72"/>
          <w:lang w:eastAsia="zh-CN"/>
        </w:rPr>
        <w:t>（</w:t>
      </w:r>
      <w:r>
        <w:rPr>
          <w:rFonts w:hint="eastAsia"/>
          <w:color w:val="auto"/>
          <w:sz w:val="72"/>
          <w:szCs w:val="72"/>
          <w:lang w:val="en-US" w:eastAsia="zh-CN"/>
        </w:rPr>
        <w:t>公示稿</w:t>
      </w:r>
      <w:r>
        <w:rPr>
          <w:rFonts w:hint="eastAsia"/>
          <w:color w:val="auto"/>
          <w:sz w:val="72"/>
          <w:szCs w:val="72"/>
          <w:lang w:eastAsia="zh-CN"/>
        </w:rPr>
        <w:t>）</w:t>
      </w:r>
    </w:p>
    <w:p w14:paraId="14E1F3F2">
      <w:pPr>
        <w:ind w:firstLine="0" w:firstLineChars="0"/>
        <w:rPr>
          <w:color w:val="auto"/>
          <w:sz w:val="44"/>
          <w:szCs w:val="44"/>
        </w:rPr>
      </w:pPr>
    </w:p>
    <w:p w14:paraId="58C51EE2">
      <w:pPr>
        <w:ind w:firstLine="0" w:firstLineChars="0"/>
        <w:rPr>
          <w:color w:val="auto"/>
          <w:sz w:val="44"/>
          <w:szCs w:val="44"/>
        </w:rPr>
      </w:pPr>
    </w:p>
    <w:p w14:paraId="3B583493">
      <w:pPr>
        <w:adjustRightInd w:val="0"/>
        <w:snapToGrid w:val="0"/>
        <w:spacing w:line="288" w:lineRule="auto"/>
        <w:ind w:firstLine="0" w:firstLineChars="0"/>
        <w:jc w:val="left"/>
        <w:rPr>
          <w:color w:val="auto"/>
          <w:sz w:val="36"/>
          <w:szCs w:val="36"/>
        </w:rPr>
      </w:pPr>
    </w:p>
    <w:tbl>
      <w:tblPr>
        <w:tblStyle w:val="29"/>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6167"/>
      </w:tblGrid>
      <w:tr w14:paraId="5C0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0" w:type="dxa"/>
            <w:tcBorders>
              <w:top w:val="nil"/>
              <w:left w:val="nil"/>
              <w:bottom w:val="nil"/>
              <w:right w:val="nil"/>
            </w:tcBorders>
            <w:vAlign w:val="center"/>
          </w:tcPr>
          <w:p w14:paraId="41E5C4F1">
            <w:pPr>
              <w:adjustRightInd w:val="0"/>
              <w:snapToGrid w:val="0"/>
              <w:spacing w:line="288" w:lineRule="auto"/>
              <w:ind w:firstLine="0" w:firstLineChars="0"/>
              <w:jc w:val="center"/>
              <w:rPr>
                <w:rFonts w:eastAsia="仿宋"/>
                <w:color w:val="auto"/>
              </w:rPr>
            </w:pPr>
            <w:r>
              <w:rPr>
                <w:rFonts w:eastAsia="仿宋"/>
                <w:color w:val="auto"/>
                <w:sz w:val="36"/>
                <w:szCs w:val="36"/>
              </w:rPr>
              <w:t>项目名称：</w:t>
            </w:r>
          </w:p>
        </w:tc>
        <w:tc>
          <w:tcPr>
            <w:tcW w:w="6167" w:type="dxa"/>
            <w:tcBorders>
              <w:top w:val="nil"/>
              <w:left w:val="nil"/>
              <w:bottom w:val="nil"/>
              <w:right w:val="nil"/>
            </w:tcBorders>
            <w:vAlign w:val="center"/>
          </w:tcPr>
          <w:p w14:paraId="26C12DB7">
            <w:pPr>
              <w:adjustRightInd w:val="0"/>
              <w:snapToGrid w:val="0"/>
              <w:spacing w:line="288" w:lineRule="auto"/>
              <w:ind w:firstLine="0" w:firstLineChars="0"/>
              <w:jc w:val="center"/>
              <w:rPr>
                <w:rFonts w:eastAsia="仿宋"/>
                <w:color w:val="auto"/>
              </w:rPr>
            </w:pPr>
            <w:r>
              <w:rPr>
                <w:rFonts w:eastAsia="仿宋"/>
                <w:color w:val="auto"/>
                <w:sz w:val="36"/>
                <w:szCs w:val="36"/>
              </w:rPr>
              <w:t>年产料盘740吨、载带730吨新建项目</w:t>
            </w:r>
          </w:p>
        </w:tc>
      </w:tr>
      <w:tr w14:paraId="4878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Borders>
              <w:top w:val="nil"/>
              <w:left w:val="nil"/>
              <w:bottom w:val="nil"/>
              <w:right w:val="nil"/>
            </w:tcBorders>
            <w:vAlign w:val="center"/>
          </w:tcPr>
          <w:p w14:paraId="0EAB4501">
            <w:pPr>
              <w:adjustRightInd w:val="0"/>
              <w:snapToGrid w:val="0"/>
              <w:spacing w:line="288" w:lineRule="auto"/>
              <w:ind w:firstLine="0" w:firstLineChars="0"/>
              <w:jc w:val="center"/>
              <w:rPr>
                <w:rFonts w:eastAsia="仿宋"/>
                <w:color w:val="auto"/>
              </w:rPr>
            </w:pPr>
            <w:r>
              <w:rPr>
                <w:rFonts w:eastAsia="仿宋"/>
                <w:color w:val="auto"/>
                <w:sz w:val="36"/>
                <w:szCs w:val="36"/>
              </w:rPr>
              <w:t>建设单位（盖章）：</w:t>
            </w:r>
          </w:p>
        </w:tc>
        <w:tc>
          <w:tcPr>
            <w:tcW w:w="6167" w:type="dxa"/>
            <w:tcBorders>
              <w:top w:val="nil"/>
              <w:left w:val="nil"/>
              <w:bottom w:val="nil"/>
              <w:right w:val="nil"/>
            </w:tcBorders>
            <w:vAlign w:val="center"/>
          </w:tcPr>
          <w:p w14:paraId="5B82EAD6">
            <w:pPr>
              <w:adjustRightInd w:val="0"/>
              <w:snapToGrid w:val="0"/>
              <w:spacing w:line="288" w:lineRule="auto"/>
              <w:ind w:firstLine="0" w:firstLineChars="0"/>
              <w:jc w:val="center"/>
              <w:rPr>
                <w:rFonts w:eastAsia="仿宋"/>
                <w:color w:val="auto"/>
              </w:rPr>
            </w:pPr>
            <w:r>
              <w:rPr>
                <w:rFonts w:eastAsia="仿宋"/>
                <w:color w:val="auto"/>
                <w:sz w:val="36"/>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10160</wp:posOffset>
                      </wp:positionV>
                      <wp:extent cx="3905250" cy="0"/>
                      <wp:effectExtent l="0" t="4445" r="0" b="5080"/>
                      <wp:wrapNone/>
                      <wp:docPr id="84" name="直接连接符 84"/>
                      <wp:cNvGraphicFramePr/>
                      <a:graphic xmlns:a="http://schemas.openxmlformats.org/drawingml/2006/main">
                        <a:graphicData uri="http://schemas.microsoft.com/office/word/2010/wordprocessingShape">
                          <wps:wsp>
                            <wps:cNvCnPr/>
                            <wps:spPr>
                              <a:xfrm>
                                <a:off x="0" y="0"/>
                                <a:ext cx="39052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5pt;margin-top:0.8pt;height:0pt;width:307.5pt;z-index:251661312;mso-width-relative:page;mso-height-relative:page;" filled="f" stroked="t" coordsize="21600,21600" o:gfxdata="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T+IptEAAAAGAQAADwAAAAAAAAABACAAAAAi&#10;AAAAZHJzL2Rvd25yZXYueG1sUEsBAhQAFAAAAAgAh07iQHCZb+rYAQAAnAMAAA4AAAAAAAAAAQAg&#10;AAAAIAEAAGRycy9lMm9Eb2MueG1sUEsFBgAAAAAGAAYAWQEAAGoFAAAAAA==&#10;">
                      <v:fill on="f" focussize="0,0"/>
                      <v:stroke weight="0.5pt" color="#000000 [3213]" joinstyle="round"/>
                      <v:imagedata o:title=""/>
                      <o:lock v:ext="edit" aspectratio="f"/>
                    </v:line>
                  </w:pict>
                </mc:Fallback>
              </mc:AlternateContent>
            </w:r>
            <w:r>
              <w:rPr>
                <w:rFonts w:eastAsia="仿宋"/>
                <w:color w:val="auto"/>
                <w:sz w:val="36"/>
                <w:szCs w:val="36"/>
              </w:rPr>
              <w:t>无锡载创电子科技有限公司</w:t>
            </w:r>
          </w:p>
        </w:tc>
      </w:tr>
      <w:tr w14:paraId="7112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tcBorders>
              <w:top w:val="nil"/>
              <w:left w:val="nil"/>
              <w:bottom w:val="nil"/>
              <w:right w:val="nil"/>
            </w:tcBorders>
            <w:vAlign w:val="center"/>
          </w:tcPr>
          <w:p w14:paraId="4068AAAF">
            <w:pPr>
              <w:adjustRightInd w:val="0"/>
              <w:snapToGrid w:val="0"/>
              <w:spacing w:line="288" w:lineRule="auto"/>
              <w:ind w:firstLine="0" w:firstLineChars="0"/>
              <w:jc w:val="center"/>
              <w:rPr>
                <w:rFonts w:eastAsia="仿宋"/>
                <w:color w:val="auto"/>
              </w:rPr>
            </w:pPr>
            <w:r>
              <w:rPr>
                <w:rFonts w:eastAsia="仿宋"/>
                <w:color w:val="auto"/>
                <w:sz w:val="36"/>
                <w:szCs w:val="36"/>
              </w:rPr>
              <w:t>编制日期：</w:t>
            </w:r>
          </w:p>
        </w:tc>
        <w:tc>
          <w:tcPr>
            <w:tcW w:w="6167" w:type="dxa"/>
            <w:tcBorders>
              <w:top w:val="nil"/>
              <w:left w:val="nil"/>
              <w:bottom w:val="nil"/>
              <w:right w:val="nil"/>
            </w:tcBorders>
            <w:vAlign w:val="center"/>
          </w:tcPr>
          <w:p w14:paraId="0A68C9CE">
            <w:pPr>
              <w:adjustRightInd w:val="0"/>
              <w:snapToGrid w:val="0"/>
              <w:spacing w:line="288" w:lineRule="auto"/>
              <w:ind w:firstLine="0" w:firstLineChars="0"/>
              <w:jc w:val="center"/>
              <w:rPr>
                <w:rFonts w:eastAsia="仿宋"/>
                <w:color w:val="auto"/>
              </w:rPr>
            </w:pPr>
            <w:bookmarkStart w:id="0" w:name="_Hlk57884087"/>
            <w:r>
              <w:rPr>
                <w:rFonts w:eastAsia="仿宋"/>
                <w:color w:val="auto"/>
                <w:sz w:val="36"/>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7620</wp:posOffset>
                      </wp:positionV>
                      <wp:extent cx="3903345" cy="0"/>
                      <wp:effectExtent l="0" t="4445" r="0" b="5080"/>
                      <wp:wrapNone/>
                      <wp:docPr id="74" name="直接连接符 74"/>
                      <wp:cNvGraphicFramePr/>
                      <a:graphic xmlns:a="http://schemas.openxmlformats.org/drawingml/2006/main">
                        <a:graphicData uri="http://schemas.microsoft.com/office/word/2010/wordprocessingShape">
                          <wps:wsp>
                            <wps:cNvCnPr/>
                            <wps:spPr>
                              <a:xfrm>
                                <a:off x="2927985" y="7127875"/>
                                <a:ext cx="390334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5pt;margin-top:0.6pt;height:0pt;width:307.35pt;z-index:251659264;mso-width-relative:page;mso-height-relative:page;" filled="f" stroked="t" coordsize="21600,21600" o:gfxdata="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keEetIAAAAG&#10;AQAADwAAAAAAAAABACAAAAAiAAAAZHJzL2Rvd25yZXYueG1sUEsBAhQAFAAAAAgAh07iQD/61yzp&#10;AQAAqAMAAA4AAAAAAAAAAQAgAAAAIQEAAGRycy9lMm9Eb2MueG1sUEsFBgAAAAAGAAYAWQEAAHwF&#10;AAAAAA==&#10;">
                      <v:fill on="f" focussize="0,0"/>
                      <v:stroke weight="0.5pt" color="#000000 [3213]" joinstyle="round"/>
                      <v:imagedata o:title=""/>
                      <o:lock v:ext="edit" aspectratio="f"/>
                    </v:line>
                  </w:pict>
                </mc:Fallback>
              </mc:AlternateContent>
            </w:r>
            <w:r>
              <w:rPr>
                <w:rFonts w:eastAsia="仿宋"/>
                <w:color w:val="auto"/>
                <w:sz w:val="36"/>
                <w:szCs w:val="36"/>
              </w:rPr>
              <w:t>2025年</w:t>
            </w:r>
            <w:r>
              <w:rPr>
                <w:rFonts w:hint="eastAsia" w:eastAsia="仿宋"/>
                <w:color w:val="auto"/>
                <w:sz w:val="36"/>
                <w:szCs w:val="36"/>
              </w:rPr>
              <w:t>11</w:t>
            </w:r>
            <w:r>
              <w:rPr>
                <w:rFonts w:eastAsia="仿宋"/>
                <w:color w:val="auto"/>
                <w:sz w:val="36"/>
                <w:szCs w:val="36"/>
              </w:rPr>
              <w:t>月</w:t>
            </w:r>
          </w:p>
        </w:tc>
      </w:tr>
    </w:tbl>
    <w:p w14:paraId="6F27420C">
      <w:pPr>
        <w:ind w:firstLine="0" w:firstLineChars="0"/>
        <w:rPr>
          <w:color w:val="auto"/>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1765935</wp:posOffset>
                </wp:positionH>
                <wp:positionV relativeFrom="paragraph">
                  <wp:posOffset>3810</wp:posOffset>
                </wp:positionV>
                <wp:extent cx="3918585" cy="0"/>
                <wp:effectExtent l="0" t="4445" r="0" b="5080"/>
                <wp:wrapNone/>
                <wp:docPr id="82" name="直接连接符 82"/>
                <wp:cNvGraphicFramePr/>
                <a:graphic xmlns:a="http://schemas.openxmlformats.org/drawingml/2006/main">
                  <a:graphicData uri="http://schemas.microsoft.com/office/word/2010/wordprocessingShape">
                    <wps:wsp>
                      <wps:cNvCnPr/>
                      <wps:spPr>
                        <a:xfrm>
                          <a:off x="0" y="0"/>
                          <a:ext cx="391858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9.05pt;margin-top:0.3pt;height:0pt;width:308.55pt;z-index:251660288;mso-width-relative:page;mso-height-relative:page;" filled="f" stroked="t" coordsize="21600,21600" o:gfxdata="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vTLNNIAAAAFAQAADwAAAAAAAAABACAA&#10;AAAiAAAAZHJzL2Rvd25yZXYueG1sUEsBAhQAFAAAAAgAh07iQIr33TvaAQAAnAMAAA4AAAAAAAAA&#10;AQAgAAAAIQEAAGRycy9lMm9Eb2MueG1sUEsFBgAAAAAGAAYAWQEAAG0FAAAAAA==&#10;">
                <v:fill on="f" focussize="0,0"/>
                <v:stroke weight="0.5pt" color="#000000 [3213]" joinstyle="round"/>
                <v:imagedata o:title=""/>
                <o:lock v:ext="edit" aspectratio="f"/>
              </v:line>
            </w:pict>
          </mc:Fallback>
        </mc:AlternateContent>
      </w:r>
    </w:p>
    <w:p w14:paraId="501DA764">
      <w:pPr>
        <w:ind w:firstLine="0" w:firstLineChars="0"/>
        <w:rPr>
          <w:color w:val="auto"/>
        </w:rPr>
      </w:pPr>
    </w:p>
    <w:p w14:paraId="75172900">
      <w:pPr>
        <w:ind w:firstLine="0" w:firstLineChars="0"/>
        <w:rPr>
          <w:color w:val="auto"/>
        </w:rPr>
      </w:pPr>
    </w:p>
    <w:p w14:paraId="46402B18">
      <w:pPr>
        <w:ind w:firstLine="0" w:firstLineChars="0"/>
        <w:rPr>
          <w:color w:val="auto"/>
        </w:rPr>
      </w:pPr>
    </w:p>
    <w:p w14:paraId="08DDF481">
      <w:pPr>
        <w:ind w:firstLine="0" w:firstLineChars="0"/>
        <w:rPr>
          <w:color w:val="auto"/>
        </w:rPr>
      </w:pPr>
    </w:p>
    <w:p w14:paraId="1CAB89DC">
      <w:pPr>
        <w:ind w:firstLine="480"/>
        <w:rPr>
          <w:color w:val="auto"/>
        </w:rPr>
      </w:pPr>
    </w:p>
    <w:p w14:paraId="7BD4914A">
      <w:pPr>
        <w:pStyle w:val="25"/>
        <w:ind w:left="0" w:leftChars="0" w:firstLine="0" w:firstLineChars="0"/>
        <w:rPr>
          <w:rFonts w:hint="default" w:ascii="Times New Roman" w:hAnsi="Times New Roman"/>
          <w:color w:val="auto"/>
        </w:rPr>
      </w:pPr>
    </w:p>
    <w:p w14:paraId="24D6B1F4">
      <w:pPr>
        <w:pStyle w:val="26"/>
        <w:ind w:firstLine="480"/>
        <w:rPr>
          <w:rFonts w:hint="default" w:ascii="Times New Roman" w:hAnsi="Times New Roman"/>
          <w:color w:val="auto"/>
        </w:rPr>
      </w:pPr>
    </w:p>
    <w:p w14:paraId="5B75B109">
      <w:pPr>
        <w:pStyle w:val="26"/>
        <w:ind w:firstLine="480"/>
        <w:rPr>
          <w:rFonts w:hint="default" w:ascii="Times New Roman" w:hAnsi="Times New Roman"/>
          <w:color w:val="auto"/>
        </w:rPr>
      </w:pPr>
    </w:p>
    <w:p w14:paraId="4D15867A">
      <w:pPr>
        <w:ind w:firstLine="0" w:firstLineChars="0"/>
        <w:rPr>
          <w:color w:val="auto"/>
        </w:rPr>
      </w:pPr>
    </w:p>
    <w:bookmarkEnd w:id="0"/>
    <w:p w14:paraId="4DD4D8DA">
      <w:pPr>
        <w:adjustRightInd w:val="0"/>
        <w:snapToGrid w:val="0"/>
        <w:spacing w:line="288" w:lineRule="auto"/>
        <w:ind w:firstLine="0" w:firstLineChars="0"/>
        <w:jc w:val="center"/>
        <w:rPr>
          <w:color w:val="auto"/>
          <w:sz w:val="36"/>
          <w:szCs w:val="36"/>
        </w:rPr>
      </w:pPr>
      <w:r>
        <w:rPr>
          <w:color w:val="auto"/>
          <w:sz w:val="36"/>
          <w:szCs w:val="36"/>
        </w:rPr>
        <w:t>中华人民共和国生态环境部制</w:t>
      </w:r>
    </w:p>
    <w:p w14:paraId="798FF790">
      <w:pPr>
        <w:adjustRightInd w:val="0"/>
        <w:snapToGrid w:val="0"/>
        <w:spacing w:line="288" w:lineRule="auto"/>
        <w:ind w:firstLine="0" w:firstLineChars="0"/>
        <w:rPr>
          <w:color w:val="auto"/>
          <w:sz w:val="36"/>
          <w:szCs w:val="36"/>
        </w:rPr>
        <w:sectPr>
          <w:footerReference r:id="rId5" w:type="default"/>
          <w:footerReference r:id="rId6" w:type="even"/>
          <w:pgSz w:w="11906" w:h="16838"/>
          <w:pgMar w:top="1440" w:right="1531" w:bottom="1440" w:left="1531" w:header="851" w:footer="1077" w:gutter="0"/>
          <w:pgNumType w:start="3"/>
          <w:cols w:space="720" w:num="1"/>
          <w:docGrid w:linePitch="312" w:charSpace="0"/>
        </w:sectPr>
      </w:pPr>
    </w:p>
    <w:p w14:paraId="23193D62">
      <w:pPr>
        <w:ind w:firstLine="560"/>
        <w:jc w:val="center"/>
        <w:outlineLvl w:val="0"/>
        <w:rPr>
          <w:color w:val="auto"/>
          <w:sz w:val="28"/>
          <w:szCs w:val="28"/>
        </w:rPr>
      </w:pPr>
      <w:r>
        <w:rPr>
          <w:snapToGrid w:val="0"/>
          <w:color w:val="auto"/>
          <w:sz w:val="28"/>
          <w:szCs w:val="28"/>
        </w:rPr>
        <w:t>一、建设项目基本情况</w:t>
      </w:r>
    </w:p>
    <w:tbl>
      <w:tblPr>
        <w:tblStyle w:val="28"/>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4"/>
        <w:gridCol w:w="1820"/>
        <w:gridCol w:w="2433"/>
        <w:gridCol w:w="3148"/>
      </w:tblGrid>
      <w:tr w14:paraId="55B98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1A54AC00">
            <w:pPr>
              <w:pStyle w:val="42"/>
              <w:rPr>
                <w:color w:val="auto"/>
                <w:sz w:val="24"/>
                <w:szCs w:val="24"/>
              </w:rPr>
            </w:pPr>
            <w:r>
              <w:rPr>
                <w:color w:val="auto"/>
                <w:sz w:val="24"/>
                <w:szCs w:val="24"/>
              </w:rPr>
              <w:t>建设项目名称</w:t>
            </w:r>
          </w:p>
        </w:tc>
        <w:tc>
          <w:tcPr>
            <w:tcW w:w="4444" w:type="pct"/>
            <w:gridSpan w:val="3"/>
            <w:vAlign w:val="center"/>
          </w:tcPr>
          <w:p w14:paraId="3D5735D8">
            <w:pPr>
              <w:pStyle w:val="42"/>
              <w:rPr>
                <w:color w:val="auto"/>
                <w:sz w:val="24"/>
                <w:szCs w:val="24"/>
              </w:rPr>
            </w:pPr>
            <w:r>
              <w:rPr>
                <w:color w:val="auto"/>
                <w:sz w:val="24"/>
                <w:szCs w:val="24"/>
              </w:rPr>
              <w:t>年产料盘740吨、载带730吨新建项目</w:t>
            </w:r>
          </w:p>
        </w:tc>
      </w:tr>
      <w:tr w14:paraId="1843A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48BD0E5E">
            <w:pPr>
              <w:pStyle w:val="42"/>
              <w:rPr>
                <w:color w:val="auto"/>
                <w:sz w:val="24"/>
                <w:szCs w:val="24"/>
              </w:rPr>
            </w:pPr>
            <w:r>
              <w:rPr>
                <w:color w:val="auto"/>
                <w:sz w:val="24"/>
                <w:szCs w:val="24"/>
              </w:rPr>
              <w:t>项目代码</w:t>
            </w:r>
          </w:p>
        </w:tc>
        <w:tc>
          <w:tcPr>
            <w:tcW w:w="4444" w:type="pct"/>
            <w:gridSpan w:val="3"/>
            <w:vAlign w:val="center"/>
          </w:tcPr>
          <w:p w14:paraId="17DD1A39">
            <w:pPr>
              <w:pStyle w:val="42"/>
              <w:rPr>
                <w:color w:val="auto"/>
                <w:sz w:val="24"/>
                <w:szCs w:val="24"/>
              </w:rPr>
            </w:pPr>
            <w:r>
              <w:rPr>
                <w:color w:val="auto"/>
                <w:sz w:val="24"/>
                <w:szCs w:val="24"/>
              </w:rPr>
              <w:t>2508-320265-89-05-624615</w:t>
            </w:r>
          </w:p>
        </w:tc>
      </w:tr>
      <w:tr w14:paraId="7A26A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76D0B7FF">
            <w:pPr>
              <w:pStyle w:val="42"/>
              <w:rPr>
                <w:color w:val="auto"/>
                <w:sz w:val="24"/>
                <w:szCs w:val="24"/>
              </w:rPr>
            </w:pPr>
            <w:r>
              <w:rPr>
                <w:color w:val="auto"/>
                <w:sz w:val="24"/>
                <w:szCs w:val="24"/>
              </w:rPr>
              <w:t>建设单位联系人</w:t>
            </w:r>
          </w:p>
        </w:tc>
        <w:tc>
          <w:tcPr>
            <w:tcW w:w="1093" w:type="pct"/>
            <w:vAlign w:val="center"/>
          </w:tcPr>
          <w:p w14:paraId="402F984A">
            <w:pPr>
              <w:pStyle w:val="42"/>
              <w:rPr>
                <w:rFonts w:hint="default" w:eastAsia="宋体"/>
                <w:color w:val="auto"/>
                <w:sz w:val="24"/>
                <w:szCs w:val="24"/>
                <w:lang w:val="en-US" w:eastAsia="zh-CN"/>
              </w:rPr>
            </w:pPr>
            <w:r>
              <w:rPr>
                <w:color w:val="auto"/>
                <w:sz w:val="24"/>
                <w:szCs w:val="24"/>
              </w:rPr>
              <w:t>朱</w:t>
            </w:r>
            <w:r>
              <w:rPr>
                <w:rFonts w:hint="eastAsia"/>
                <w:color w:val="auto"/>
                <w:sz w:val="24"/>
                <w:szCs w:val="24"/>
                <w:lang w:val="en-US" w:eastAsia="zh-CN"/>
              </w:rPr>
              <w:t>**</w:t>
            </w:r>
          </w:p>
        </w:tc>
        <w:tc>
          <w:tcPr>
            <w:tcW w:w="1461" w:type="pct"/>
            <w:vAlign w:val="center"/>
          </w:tcPr>
          <w:p w14:paraId="7CF22306">
            <w:pPr>
              <w:pStyle w:val="42"/>
              <w:rPr>
                <w:color w:val="auto"/>
                <w:sz w:val="24"/>
                <w:szCs w:val="24"/>
              </w:rPr>
            </w:pPr>
            <w:r>
              <w:rPr>
                <w:color w:val="auto"/>
                <w:sz w:val="24"/>
                <w:szCs w:val="24"/>
              </w:rPr>
              <w:t>联系方式</w:t>
            </w:r>
          </w:p>
        </w:tc>
        <w:tc>
          <w:tcPr>
            <w:tcW w:w="1890" w:type="pct"/>
            <w:vAlign w:val="center"/>
          </w:tcPr>
          <w:p w14:paraId="70369CB4">
            <w:pPr>
              <w:pStyle w:val="42"/>
              <w:rPr>
                <w:color w:val="auto"/>
                <w:sz w:val="24"/>
                <w:szCs w:val="24"/>
              </w:rPr>
            </w:pPr>
            <w:r>
              <w:rPr>
                <w:color w:val="auto"/>
                <w:sz w:val="24"/>
                <w:szCs w:val="24"/>
              </w:rPr>
              <w:t>186</w:t>
            </w:r>
            <w:r>
              <w:rPr>
                <w:rFonts w:hint="eastAsia"/>
                <w:color w:val="auto"/>
                <w:sz w:val="24"/>
                <w:szCs w:val="24"/>
                <w:lang w:val="en-US" w:eastAsia="zh-CN"/>
              </w:rPr>
              <w:t>****</w:t>
            </w:r>
            <w:r>
              <w:rPr>
                <w:color w:val="auto"/>
                <w:sz w:val="24"/>
                <w:szCs w:val="24"/>
              </w:rPr>
              <w:t>9900</w:t>
            </w:r>
          </w:p>
        </w:tc>
      </w:tr>
      <w:tr w14:paraId="2957A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38917F9F">
            <w:pPr>
              <w:pStyle w:val="42"/>
              <w:rPr>
                <w:color w:val="auto"/>
                <w:sz w:val="24"/>
                <w:szCs w:val="24"/>
              </w:rPr>
            </w:pPr>
            <w:r>
              <w:rPr>
                <w:color w:val="auto"/>
                <w:sz w:val="24"/>
                <w:szCs w:val="24"/>
              </w:rPr>
              <w:t>建设地点</w:t>
            </w:r>
          </w:p>
        </w:tc>
        <w:tc>
          <w:tcPr>
            <w:tcW w:w="4444" w:type="pct"/>
            <w:gridSpan w:val="3"/>
            <w:vAlign w:val="center"/>
          </w:tcPr>
          <w:p w14:paraId="40D9C06B">
            <w:pPr>
              <w:pStyle w:val="42"/>
              <w:rPr>
                <w:color w:val="auto"/>
                <w:sz w:val="24"/>
                <w:szCs w:val="24"/>
              </w:rPr>
            </w:pPr>
            <w:r>
              <w:rPr>
                <w:color w:val="auto"/>
                <w:sz w:val="24"/>
                <w:szCs w:val="24"/>
                <w:u w:val="single"/>
              </w:rPr>
              <w:t xml:space="preserve">  江苏  </w:t>
            </w:r>
            <w:r>
              <w:rPr>
                <w:color w:val="auto"/>
                <w:sz w:val="24"/>
                <w:szCs w:val="24"/>
              </w:rPr>
              <w:t>省（自治区）</w:t>
            </w:r>
            <w:r>
              <w:rPr>
                <w:color w:val="auto"/>
                <w:sz w:val="24"/>
                <w:szCs w:val="24"/>
                <w:u w:val="single"/>
              </w:rPr>
              <w:t xml:space="preserve">  无锡  </w:t>
            </w:r>
            <w:r>
              <w:rPr>
                <w:color w:val="auto"/>
                <w:sz w:val="24"/>
                <w:szCs w:val="24"/>
              </w:rPr>
              <w:t>市</w:t>
            </w:r>
            <w:r>
              <w:rPr>
                <w:color w:val="auto"/>
                <w:sz w:val="24"/>
                <w:szCs w:val="24"/>
                <w:u w:val="single"/>
              </w:rPr>
              <w:t xml:space="preserve">  江阴  </w:t>
            </w:r>
            <w:r>
              <w:rPr>
                <w:color w:val="auto"/>
                <w:sz w:val="24"/>
                <w:szCs w:val="24"/>
              </w:rPr>
              <w:t>县（区）</w:t>
            </w:r>
            <w:r>
              <w:rPr>
                <w:color w:val="auto"/>
                <w:sz w:val="24"/>
                <w:szCs w:val="24"/>
                <w:u w:val="single"/>
              </w:rPr>
              <w:t xml:space="preserve"> 青阳 </w:t>
            </w:r>
            <w:r>
              <w:rPr>
                <w:color w:val="auto"/>
                <w:sz w:val="24"/>
                <w:szCs w:val="24"/>
              </w:rPr>
              <w:t>乡（街道）</w:t>
            </w:r>
          </w:p>
          <w:p w14:paraId="7CB7918C">
            <w:pPr>
              <w:pStyle w:val="42"/>
              <w:rPr>
                <w:color w:val="auto"/>
                <w:sz w:val="24"/>
                <w:szCs w:val="24"/>
              </w:rPr>
            </w:pPr>
            <w:r>
              <w:rPr>
                <w:color w:val="auto"/>
                <w:sz w:val="24"/>
                <w:szCs w:val="24"/>
                <w:u w:val="single"/>
              </w:rPr>
              <w:t xml:space="preserve"> 振阳路122号科创微城8号 </w:t>
            </w:r>
          </w:p>
        </w:tc>
      </w:tr>
      <w:tr w14:paraId="16DD2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23F0F2E3">
            <w:pPr>
              <w:pStyle w:val="42"/>
              <w:rPr>
                <w:color w:val="auto"/>
                <w:sz w:val="24"/>
                <w:szCs w:val="24"/>
              </w:rPr>
            </w:pPr>
            <w:r>
              <w:rPr>
                <w:color w:val="auto"/>
                <w:sz w:val="24"/>
                <w:szCs w:val="24"/>
              </w:rPr>
              <w:t>地理坐标</w:t>
            </w:r>
          </w:p>
        </w:tc>
        <w:tc>
          <w:tcPr>
            <w:tcW w:w="4444" w:type="pct"/>
            <w:gridSpan w:val="3"/>
            <w:vAlign w:val="center"/>
          </w:tcPr>
          <w:p w14:paraId="6DA2BA97">
            <w:pPr>
              <w:pStyle w:val="42"/>
              <w:rPr>
                <w:color w:val="auto"/>
                <w:sz w:val="24"/>
                <w:szCs w:val="24"/>
              </w:rPr>
            </w:pPr>
            <w:r>
              <w:rPr>
                <w:color w:val="auto"/>
                <w:sz w:val="24"/>
                <w:szCs w:val="24"/>
              </w:rPr>
              <w:t>（</w:t>
            </w:r>
            <w:r>
              <w:rPr>
                <w:color w:val="auto"/>
                <w:sz w:val="24"/>
                <w:szCs w:val="24"/>
                <w:u w:val="single"/>
              </w:rPr>
              <w:t>120</w:t>
            </w:r>
            <w:r>
              <w:rPr>
                <w:color w:val="auto"/>
                <w:sz w:val="24"/>
                <w:szCs w:val="24"/>
              </w:rPr>
              <w:t>度</w:t>
            </w:r>
            <w:r>
              <w:rPr>
                <w:color w:val="auto"/>
                <w:sz w:val="24"/>
                <w:szCs w:val="24"/>
                <w:u w:val="single"/>
              </w:rPr>
              <w:t>15</w:t>
            </w:r>
            <w:r>
              <w:rPr>
                <w:color w:val="auto"/>
                <w:sz w:val="24"/>
                <w:szCs w:val="24"/>
              </w:rPr>
              <w:t>分</w:t>
            </w:r>
            <w:r>
              <w:rPr>
                <w:color w:val="auto"/>
                <w:sz w:val="24"/>
                <w:szCs w:val="24"/>
                <w:u w:val="single"/>
              </w:rPr>
              <w:t>8.911</w:t>
            </w:r>
            <w:r>
              <w:rPr>
                <w:color w:val="auto"/>
                <w:sz w:val="24"/>
                <w:szCs w:val="24"/>
              </w:rPr>
              <w:t>秒，</w:t>
            </w:r>
            <w:r>
              <w:rPr>
                <w:color w:val="auto"/>
                <w:sz w:val="24"/>
                <w:szCs w:val="24"/>
                <w:u w:val="single"/>
              </w:rPr>
              <w:t>31</w:t>
            </w:r>
            <w:r>
              <w:rPr>
                <w:color w:val="auto"/>
                <w:sz w:val="24"/>
                <w:szCs w:val="24"/>
              </w:rPr>
              <w:t>度</w:t>
            </w:r>
            <w:r>
              <w:rPr>
                <w:color w:val="auto"/>
                <w:sz w:val="24"/>
                <w:szCs w:val="24"/>
                <w:u w:val="single"/>
              </w:rPr>
              <w:t>47</w:t>
            </w:r>
            <w:r>
              <w:rPr>
                <w:color w:val="auto"/>
                <w:sz w:val="24"/>
                <w:szCs w:val="24"/>
              </w:rPr>
              <w:t>分</w:t>
            </w:r>
            <w:r>
              <w:rPr>
                <w:color w:val="auto"/>
                <w:sz w:val="24"/>
                <w:szCs w:val="24"/>
                <w:u w:val="single"/>
              </w:rPr>
              <w:t>39.334</w:t>
            </w:r>
            <w:r>
              <w:rPr>
                <w:color w:val="auto"/>
                <w:sz w:val="24"/>
                <w:szCs w:val="24"/>
              </w:rPr>
              <w:t>秒）</w:t>
            </w:r>
          </w:p>
        </w:tc>
      </w:tr>
      <w:tr w14:paraId="594C5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3C61B633">
            <w:pPr>
              <w:pStyle w:val="42"/>
              <w:rPr>
                <w:color w:val="auto"/>
                <w:sz w:val="24"/>
                <w:szCs w:val="24"/>
              </w:rPr>
            </w:pPr>
            <w:r>
              <w:rPr>
                <w:color w:val="auto"/>
                <w:sz w:val="24"/>
                <w:szCs w:val="24"/>
              </w:rPr>
              <w:t>国民经济行业类别</w:t>
            </w:r>
          </w:p>
        </w:tc>
        <w:tc>
          <w:tcPr>
            <w:tcW w:w="1093" w:type="pct"/>
            <w:vAlign w:val="center"/>
          </w:tcPr>
          <w:p w14:paraId="0B979FE4">
            <w:pPr>
              <w:pStyle w:val="42"/>
              <w:rPr>
                <w:color w:val="auto"/>
                <w:sz w:val="24"/>
                <w:szCs w:val="24"/>
              </w:rPr>
            </w:pPr>
            <w:r>
              <w:rPr>
                <w:color w:val="auto"/>
                <w:sz w:val="24"/>
                <w:szCs w:val="24"/>
              </w:rPr>
              <w:t>C2929塑料零件及其他塑料制品制造</w:t>
            </w:r>
          </w:p>
        </w:tc>
        <w:tc>
          <w:tcPr>
            <w:tcW w:w="1461" w:type="pct"/>
            <w:vAlign w:val="center"/>
          </w:tcPr>
          <w:p w14:paraId="52DDADBE">
            <w:pPr>
              <w:pStyle w:val="42"/>
              <w:rPr>
                <w:color w:val="auto"/>
                <w:sz w:val="24"/>
                <w:szCs w:val="24"/>
              </w:rPr>
            </w:pPr>
            <w:bookmarkStart w:id="1" w:name="_Hlk49843745"/>
            <w:r>
              <w:rPr>
                <w:color w:val="auto"/>
                <w:sz w:val="24"/>
                <w:szCs w:val="24"/>
              </w:rPr>
              <w:t>建设项目</w:t>
            </w:r>
          </w:p>
          <w:p w14:paraId="1D5F298B">
            <w:pPr>
              <w:pStyle w:val="42"/>
              <w:rPr>
                <w:color w:val="auto"/>
                <w:sz w:val="24"/>
                <w:szCs w:val="24"/>
              </w:rPr>
            </w:pPr>
            <w:r>
              <w:rPr>
                <w:color w:val="auto"/>
                <w:sz w:val="24"/>
                <w:szCs w:val="24"/>
              </w:rPr>
              <w:t>行业类别</w:t>
            </w:r>
            <w:bookmarkEnd w:id="1"/>
          </w:p>
        </w:tc>
        <w:tc>
          <w:tcPr>
            <w:tcW w:w="1890" w:type="pct"/>
            <w:vAlign w:val="center"/>
          </w:tcPr>
          <w:p w14:paraId="66C972F7">
            <w:pPr>
              <w:pStyle w:val="42"/>
              <w:rPr>
                <w:color w:val="auto"/>
                <w:sz w:val="24"/>
                <w:szCs w:val="24"/>
              </w:rPr>
            </w:pPr>
            <w:r>
              <w:rPr>
                <w:color w:val="auto"/>
                <w:sz w:val="24"/>
                <w:szCs w:val="24"/>
              </w:rPr>
              <w:t>二十六、橡胶和塑料制品业 29中53塑料制品业 292</w:t>
            </w:r>
          </w:p>
        </w:tc>
      </w:tr>
      <w:tr w14:paraId="677C0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603708A1">
            <w:pPr>
              <w:pStyle w:val="42"/>
              <w:rPr>
                <w:color w:val="auto"/>
                <w:sz w:val="24"/>
                <w:szCs w:val="24"/>
              </w:rPr>
            </w:pPr>
            <w:r>
              <w:rPr>
                <w:color w:val="auto"/>
                <w:sz w:val="24"/>
                <w:szCs w:val="24"/>
              </w:rPr>
              <w:t>建设性质</w:t>
            </w:r>
          </w:p>
        </w:tc>
        <w:tc>
          <w:tcPr>
            <w:tcW w:w="1093" w:type="pct"/>
            <w:vAlign w:val="center"/>
          </w:tcPr>
          <w:p w14:paraId="3A52F4AF">
            <w:pPr>
              <w:pStyle w:val="42"/>
              <w:jc w:val="left"/>
              <w:rPr>
                <w:color w:val="auto"/>
                <w:sz w:val="24"/>
                <w:szCs w:val="24"/>
              </w:rPr>
            </w:pPr>
            <w:r>
              <w:rPr>
                <w:color w:val="auto"/>
                <w:sz w:val="24"/>
                <w:szCs w:val="24"/>
              </w:rPr>
              <w:sym w:font="Wingdings 2" w:char="0052"/>
            </w:r>
            <w:r>
              <w:rPr>
                <w:color w:val="auto"/>
                <w:sz w:val="24"/>
                <w:szCs w:val="24"/>
              </w:rPr>
              <w:t>新建（迁建）</w:t>
            </w:r>
          </w:p>
          <w:p w14:paraId="1B81C281">
            <w:pPr>
              <w:pStyle w:val="42"/>
              <w:jc w:val="left"/>
              <w:rPr>
                <w:color w:val="auto"/>
                <w:sz w:val="24"/>
                <w:szCs w:val="24"/>
              </w:rPr>
            </w:pPr>
            <w:r>
              <w:rPr>
                <w:color w:val="auto"/>
                <w:sz w:val="24"/>
                <w:szCs w:val="24"/>
              </w:rPr>
              <w:sym w:font="Wingdings 2" w:char="00A3"/>
            </w:r>
            <w:r>
              <w:rPr>
                <w:color w:val="auto"/>
                <w:sz w:val="24"/>
                <w:szCs w:val="24"/>
              </w:rPr>
              <w:t>技改</w:t>
            </w:r>
          </w:p>
          <w:p w14:paraId="5C0F9C0A">
            <w:pPr>
              <w:pStyle w:val="42"/>
              <w:jc w:val="left"/>
              <w:rPr>
                <w:color w:val="auto"/>
                <w:sz w:val="24"/>
                <w:szCs w:val="24"/>
              </w:rPr>
            </w:pPr>
            <w:r>
              <w:rPr>
                <w:color w:val="auto"/>
                <w:sz w:val="24"/>
                <w:szCs w:val="24"/>
              </w:rPr>
              <w:sym w:font="Wingdings 2" w:char="00A3"/>
            </w:r>
            <w:r>
              <w:rPr>
                <w:color w:val="auto"/>
                <w:sz w:val="24"/>
                <w:szCs w:val="24"/>
              </w:rPr>
              <w:t>扩建</w:t>
            </w:r>
          </w:p>
          <w:p w14:paraId="5DE208EB">
            <w:pPr>
              <w:pStyle w:val="42"/>
              <w:jc w:val="left"/>
              <w:rPr>
                <w:color w:val="auto"/>
                <w:sz w:val="24"/>
                <w:szCs w:val="24"/>
              </w:rPr>
            </w:pPr>
            <w:r>
              <w:rPr>
                <w:color w:val="auto"/>
                <w:sz w:val="24"/>
                <w:szCs w:val="24"/>
              </w:rPr>
              <w:sym w:font="Wingdings 2" w:char="00A3"/>
            </w:r>
            <w:r>
              <w:rPr>
                <w:color w:val="auto"/>
                <w:sz w:val="24"/>
                <w:szCs w:val="24"/>
              </w:rPr>
              <w:t>技术改造</w:t>
            </w:r>
          </w:p>
        </w:tc>
        <w:tc>
          <w:tcPr>
            <w:tcW w:w="1461" w:type="pct"/>
            <w:vAlign w:val="center"/>
          </w:tcPr>
          <w:p w14:paraId="437CFEAE">
            <w:pPr>
              <w:pStyle w:val="42"/>
              <w:rPr>
                <w:color w:val="auto"/>
                <w:sz w:val="24"/>
                <w:szCs w:val="24"/>
              </w:rPr>
            </w:pPr>
            <w:r>
              <w:rPr>
                <w:color w:val="auto"/>
                <w:sz w:val="24"/>
                <w:szCs w:val="24"/>
              </w:rPr>
              <w:t>建设项目</w:t>
            </w:r>
          </w:p>
          <w:p w14:paraId="2D4334DA">
            <w:pPr>
              <w:pStyle w:val="42"/>
              <w:rPr>
                <w:color w:val="auto"/>
                <w:sz w:val="24"/>
                <w:szCs w:val="24"/>
              </w:rPr>
            </w:pPr>
            <w:r>
              <w:rPr>
                <w:color w:val="auto"/>
                <w:sz w:val="24"/>
                <w:szCs w:val="24"/>
              </w:rPr>
              <w:t>申报情形</w:t>
            </w:r>
          </w:p>
        </w:tc>
        <w:tc>
          <w:tcPr>
            <w:tcW w:w="1890" w:type="pct"/>
            <w:vAlign w:val="center"/>
          </w:tcPr>
          <w:p w14:paraId="064F484B">
            <w:pPr>
              <w:pStyle w:val="42"/>
              <w:jc w:val="left"/>
              <w:rPr>
                <w:color w:val="auto"/>
                <w:sz w:val="24"/>
                <w:szCs w:val="24"/>
              </w:rPr>
            </w:pPr>
            <w:r>
              <w:rPr>
                <w:color w:val="auto"/>
                <w:sz w:val="24"/>
                <w:szCs w:val="24"/>
              </w:rPr>
              <w:sym w:font="Wingdings 2" w:char="0052"/>
            </w:r>
            <w:r>
              <w:rPr>
                <w:color w:val="auto"/>
                <w:sz w:val="24"/>
                <w:szCs w:val="24"/>
              </w:rPr>
              <w:t>首次申报项目</w:t>
            </w:r>
          </w:p>
          <w:p w14:paraId="2A952875">
            <w:pPr>
              <w:pStyle w:val="42"/>
              <w:jc w:val="left"/>
              <w:rPr>
                <w:color w:val="auto"/>
                <w:sz w:val="24"/>
                <w:szCs w:val="24"/>
              </w:rPr>
            </w:pPr>
            <w:r>
              <w:rPr>
                <w:color w:val="auto"/>
                <w:sz w:val="24"/>
                <w:szCs w:val="24"/>
              </w:rPr>
              <w:sym w:font="Wingdings 2" w:char="00A3"/>
            </w:r>
            <w:r>
              <w:rPr>
                <w:color w:val="auto"/>
                <w:sz w:val="24"/>
                <w:szCs w:val="24"/>
              </w:rPr>
              <w:t>不予批准后再次申报项目</w:t>
            </w:r>
          </w:p>
          <w:p w14:paraId="373DE7B9">
            <w:pPr>
              <w:pStyle w:val="42"/>
              <w:jc w:val="left"/>
              <w:rPr>
                <w:color w:val="auto"/>
                <w:sz w:val="24"/>
                <w:szCs w:val="24"/>
              </w:rPr>
            </w:pPr>
            <w:r>
              <w:rPr>
                <w:color w:val="auto"/>
                <w:sz w:val="24"/>
                <w:szCs w:val="24"/>
              </w:rPr>
              <w:sym w:font="Wingdings 2" w:char="00A3"/>
            </w:r>
            <w:r>
              <w:rPr>
                <w:color w:val="auto"/>
                <w:sz w:val="24"/>
                <w:szCs w:val="24"/>
              </w:rPr>
              <w:t>超五年重新审核项目</w:t>
            </w:r>
          </w:p>
          <w:p w14:paraId="5CEF682A">
            <w:pPr>
              <w:pStyle w:val="42"/>
              <w:jc w:val="left"/>
              <w:rPr>
                <w:color w:val="auto"/>
                <w:sz w:val="24"/>
                <w:szCs w:val="24"/>
              </w:rPr>
            </w:pPr>
            <w:r>
              <w:rPr>
                <w:color w:val="auto"/>
                <w:sz w:val="24"/>
                <w:szCs w:val="24"/>
              </w:rPr>
              <w:sym w:font="Wingdings 2" w:char="00A3"/>
            </w:r>
            <w:r>
              <w:rPr>
                <w:color w:val="auto"/>
                <w:sz w:val="24"/>
                <w:szCs w:val="24"/>
              </w:rPr>
              <w:t>重大变动重新报批项目</w:t>
            </w:r>
          </w:p>
        </w:tc>
      </w:tr>
      <w:tr w14:paraId="23E06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1C909839">
            <w:pPr>
              <w:pStyle w:val="42"/>
              <w:rPr>
                <w:color w:val="auto"/>
                <w:sz w:val="24"/>
                <w:szCs w:val="24"/>
              </w:rPr>
            </w:pPr>
            <w:r>
              <w:rPr>
                <w:color w:val="auto"/>
                <w:sz w:val="24"/>
                <w:szCs w:val="24"/>
              </w:rPr>
              <w:t>项目审批（核准/备案）部门（选填）</w:t>
            </w:r>
          </w:p>
        </w:tc>
        <w:tc>
          <w:tcPr>
            <w:tcW w:w="1093" w:type="pct"/>
            <w:vAlign w:val="center"/>
          </w:tcPr>
          <w:p w14:paraId="722C96A0">
            <w:pPr>
              <w:pStyle w:val="42"/>
              <w:rPr>
                <w:color w:val="auto"/>
                <w:sz w:val="24"/>
                <w:szCs w:val="24"/>
              </w:rPr>
            </w:pPr>
            <w:r>
              <w:rPr>
                <w:color w:val="auto"/>
                <w:sz w:val="24"/>
                <w:szCs w:val="24"/>
              </w:rPr>
              <w:t>江阴市青阳镇人民政府</w:t>
            </w:r>
          </w:p>
        </w:tc>
        <w:tc>
          <w:tcPr>
            <w:tcW w:w="1461" w:type="pct"/>
            <w:vAlign w:val="center"/>
          </w:tcPr>
          <w:p w14:paraId="339B62C0">
            <w:pPr>
              <w:pStyle w:val="42"/>
              <w:rPr>
                <w:color w:val="auto"/>
                <w:sz w:val="24"/>
                <w:szCs w:val="24"/>
              </w:rPr>
            </w:pPr>
            <w:r>
              <w:rPr>
                <w:color w:val="auto"/>
                <w:sz w:val="24"/>
                <w:szCs w:val="24"/>
              </w:rPr>
              <w:t>项目审批（核准/</w:t>
            </w:r>
          </w:p>
          <w:p w14:paraId="6B282582">
            <w:pPr>
              <w:pStyle w:val="42"/>
              <w:rPr>
                <w:color w:val="auto"/>
                <w:sz w:val="24"/>
                <w:szCs w:val="24"/>
              </w:rPr>
            </w:pPr>
            <w:r>
              <w:rPr>
                <w:color w:val="auto"/>
                <w:sz w:val="24"/>
                <w:szCs w:val="24"/>
              </w:rPr>
              <w:t>备案）文号（选填）</w:t>
            </w:r>
          </w:p>
        </w:tc>
        <w:tc>
          <w:tcPr>
            <w:tcW w:w="1890" w:type="pct"/>
            <w:vAlign w:val="center"/>
          </w:tcPr>
          <w:p w14:paraId="7E33CA2F">
            <w:pPr>
              <w:pStyle w:val="42"/>
              <w:rPr>
                <w:color w:val="auto"/>
                <w:sz w:val="24"/>
                <w:szCs w:val="24"/>
              </w:rPr>
            </w:pPr>
            <w:r>
              <w:rPr>
                <w:color w:val="auto"/>
                <w:sz w:val="24"/>
                <w:szCs w:val="24"/>
              </w:rPr>
              <w:t>江阴青阳备〔2025〕123号</w:t>
            </w:r>
          </w:p>
        </w:tc>
      </w:tr>
      <w:tr w14:paraId="6813A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728B1D05">
            <w:pPr>
              <w:pStyle w:val="42"/>
              <w:rPr>
                <w:color w:val="auto"/>
                <w:sz w:val="24"/>
                <w:szCs w:val="24"/>
              </w:rPr>
            </w:pPr>
            <w:r>
              <w:rPr>
                <w:color w:val="auto"/>
                <w:sz w:val="24"/>
                <w:szCs w:val="24"/>
              </w:rPr>
              <w:t>总投资（万元）</w:t>
            </w:r>
          </w:p>
        </w:tc>
        <w:tc>
          <w:tcPr>
            <w:tcW w:w="1093" w:type="pct"/>
            <w:vAlign w:val="center"/>
          </w:tcPr>
          <w:p w14:paraId="5DE550BC">
            <w:pPr>
              <w:pStyle w:val="42"/>
              <w:rPr>
                <w:color w:val="auto"/>
                <w:sz w:val="24"/>
                <w:szCs w:val="24"/>
              </w:rPr>
            </w:pPr>
            <w:r>
              <w:rPr>
                <w:color w:val="auto"/>
                <w:sz w:val="24"/>
                <w:szCs w:val="24"/>
              </w:rPr>
              <w:t>1500</w:t>
            </w:r>
          </w:p>
        </w:tc>
        <w:tc>
          <w:tcPr>
            <w:tcW w:w="1461" w:type="pct"/>
            <w:tcMar>
              <w:top w:w="16" w:type="dxa"/>
              <w:left w:w="16" w:type="dxa"/>
              <w:right w:w="16" w:type="dxa"/>
            </w:tcMar>
            <w:vAlign w:val="center"/>
          </w:tcPr>
          <w:p w14:paraId="41572951">
            <w:pPr>
              <w:pStyle w:val="42"/>
              <w:rPr>
                <w:color w:val="auto"/>
                <w:sz w:val="24"/>
                <w:szCs w:val="24"/>
              </w:rPr>
            </w:pPr>
            <w:r>
              <w:rPr>
                <w:color w:val="auto"/>
                <w:sz w:val="24"/>
                <w:szCs w:val="24"/>
              </w:rPr>
              <w:t>环保投资（万元）</w:t>
            </w:r>
          </w:p>
        </w:tc>
        <w:tc>
          <w:tcPr>
            <w:tcW w:w="1890" w:type="pct"/>
            <w:vAlign w:val="center"/>
          </w:tcPr>
          <w:p w14:paraId="47D8ED47">
            <w:pPr>
              <w:pStyle w:val="42"/>
              <w:rPr>
                <w:color w:val="auto"/>
                <w:sz w:val="24"/>
                <w:szCs w:val="24"/>
              </w:rPr>
            </w:pPr>
            <w:r>
              <w:rPr>
                <w:color w:val="auto"/>
                <w:sz w:val="24"/>
                <w:szCs w:val="24"/>
              </w:rPr>
              <w:t>150</w:t>
            </w:r>
          </w:p>
        </w:tc>
      </w:tr>
      <w:tr w14:paraId="5216B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55553631">
            <w:pPr>
              <w:pStyle w:val="42"/>
              <w:rPr>
                <w:color w:val="auto"/>
                <w:sz w:val="24"/>
                <w:szCs w:val="24"/>
              </w:rPr>
            </w:pPr>
            <w:r>
              <w:rPr>
                <w:color w:val="auto"/>
                <w:sz w:val="24"/>
                <w:szCs w:val="24"/>
              </w:rPr>
              <w:t>环保投资占比（%）</w:t>
            </w:r>
          </w:p>
        </w:tc>
        <w:tc>
          <w:tcPr>
            <w:tcW w:w="1093" w:type="pct"/>
            <w:vAlign w:val="center"/>
          </w:tcPr>
          <w:p w14:paraId="410CD4BC">
            <w:pPr>
              <w:pStyle w:val="42"/>
              <w:rPr>
                <w:color w:val="auto"/>
                <w:sz w:val="24"/>
                <w:szCs w:val="24"/>
              </w:rPr>
            </w:pPr>
            <w:r>
              <w:rPr>
                <w:color w:val="auto"/>
                <w:sz w:val="24"/>
                <w:szCs w:val="24"/>
              </w:rPr>
              <w:t>10</w:t>
            </w:r>
          </w:p>
        </w:tc>
        <w:tc>
          <w:tcPr>
            <w:tcW w:w="1461" w:type="pct"/>
            <w:tcMar>
              <w:top w:w="16" w:type="dxa"/>
              <w:left w:w="16" w:type="dxa"/>
              <w:right w:w="16" w:type="dxa"/>
            </w:tcMar>
            <w:vAlign w:val="center"/>
          </w:tcPr>
          <w:p w14:paraId="244A0F75">
            <w:pPr>
              <w:pStyle w:val="42"/>
              <w:rPr>
                <w:color w:val="auto"/>
                <w:sz w:val="24"/>
                <w:szCs w:val="24"/>
              </w:rPr>
            </w:pPr>
            <w:r>
              <w:rPr>
                <w:color w:val="auto"/>
                <w:sz w:val="24"/>
                <w:szCs w:val="24"/>
              </w:rPr>
              <w:t>施工工期</w:t>
            </w:r>
          </w:p>
        </w:tc>
        <w:tc>
          <w:tcPr>
            <w:tcW w:w="1890" w:type="pct"/>
            <w:vAlign w:val="center"/>
          </w:tcPr>
          <w:p w14:paraId="483FC934">
            <w:pPr>
              <w:pStyle w:val="42"/>
              <w:rPr>
                <w:color w:val="auto"/>
                <w:sz w:val="24"/>
                <w:szCs w:val="24"/>
              </w:rPr>
            </w:pPr>
            <w:r>
              <w:rPr>
                <w:color w:val="auto"/>
                <w:sz w:val="24"/>
                <w:szCs w:val="24"/>
              </w:rPr>
              <w:t>6个月</w:t>
            </w:r>
          </w:p>
        </w:tc>
      </w:tr>
      <w:tr w14:paraId="264D1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55" w:type="pct"/>
            <w:tcMar>
              <w:top w:w="16" w:type="dxa"/>
              <w:left w:w="16" w:type="dxa"/>
              <w:right w:w="16" w:type="dxa"/>
            </w:tcMar>
            <w:vAlign w:val="center"/>
          </w:tcPr>
          <w:p w14:paraId="4C8E04AE">
            <w:pPr>
              <w:pStyle w:val="42"/>
              <w:rPr>
                <w:color w:val="auto"/>
                <w:sz w:val="24"/>
                <w:szCs w:val="24"/>
              </w:rPr>
            </w:pPr>
            <w:r>
              <w:rPr>
                <w:color w:val="auto"/>
                <w:sz w:val="24"/>
                <w:szCs w:val="24"/>
              </w:rPr>
              <w:t>是否开工建设</w:t>
            </w:r>
          </w:p>
        </w:tc>
        <w:tc>
          <w:tcPr>
            <w:tcW w:w="1093" w:type="pct"/>
            <w:vAlign w:val="center"/>
          </w:tcPr>
          <w:p w14:paraId="7F566578">
            <w:pPr>
              <w:pStyle w:val="42"/>
              <w:rPr>
                <w:color w:val="auto"/>
                <w:sz w:val="24"/>
                <w:szCs w:val="24"/>
              </w:rPr>
            </w:pPr>
            <w:r>
              <w:rPr>
                <w:color w:val="auto"/>
                <w:sz w:val="24"/>
                <w:szCs w:val="24"/>
              </w:rPr>
              <w:sym w:font="Wingdings 2" w:char="0052"/>
            </w:r>
            <w:r>
              <w:rPr>
                <w:color w:val="auto"/>
                <w:sz w:val="24"/>
                <w:szCs w:val="24"/>
              </w:rPr>
              <w:t>否</w:t>
            </w:r>
          </w:p>
          <w:p w14:paraId="307F99C4">
            <w:pPr>
              <w:pStyle w:val="42"/>
              <w:rPr>
                <w:color w:val="auto"/>
                <w:sz w:val="24"/>
                <w:szCs w:val="24"/>
              </w:rPr>
            </w:pPr>
            <w:r>
              <w:rPr>
                <w:color w:val="auto"/>
                <w:sz w:val="24"/>
                <w:szCs w:val="24"/>
              </w:rPr>
              <w:sym w:font="Wingdings 2" w:char="00A3"/>
            </w:r>
            <w:r>
              <w:rPr>
                <w:color w:val="auto"/>
                <w:sz w:val="24"/>
                <w:szCs w:val="24"/>
              </w:rPr>
              <w:t xml:space="preserve">是：      </w:t>
            </w:r>
          </w:p>
        </w:tc>
        <w:tc>
          <w:tcPr>
            <w:tcW w:w="1461" w:type="pct"/>
            <w:tcMar>
              <w:top w:w="16" w:type="dxa"/>
              <w:left w:w="16" w:type="dxa"/>
              <w:right w:w="16" w:type="dxa"/>
            </w:tcMar>
            <w:vAlign w:val="center"/>
          </w:tcPr>
          <w:p w14:paraId="2A3AC0B5">
            <w:pPr>
              <w:pStyle w:val="42"/>
              <w:rPr>
                <w:color w:val="auto"/>
                <w:sz w:val="24"/>
                <w:szCs w:val="24"/>
              </w:rPr>
            </w:pPr>
            <w:r>
              <w:rPr>
                <w:color w:val="auto"/>
                <w:sz w:val="24"/>
                <w:szCs w:val="24"/>
              </w:rPr>
              <w:t>用地（用海）</w:t>
            </w:r>
          </w:p>
          <w:p w14:paraId="2AFFA4B1">
            <w:pPr>
              <w:pStyle w:val="42"/>
              <w:rPr>
                <w:color w:val="auto"/>
                <w:sz w:val="24"/>
                <w:szCs w:val="24"/>
              </w:rPr>
            </w:pPr>
            <w:r>
              <w:rPr>
                <w:color w:val="auto"/>
                <w:sz w:val="24"/>
                <w:szCs w:val="24"/>
              </w:rPr>
              <w:t>面积（m</w:t>
            </w:r>
            <w:r>
              <w:rPr>
                <w:color w:val="auto"/>
                <w:sz w:val="24"/>
                <w:szCs w:val="24"/>
                <w:vertAlign w:val="superscript"/>
              </w:rPr>
              <w:t>2</w:t>
            </w:r>
            <w:r>
              <w:rPr>
                <w:color w:val="auto"/>
                <w:sz w:val="24"/>
                <w:szCs w:val="24"/>
              </w:rPr>
              <w:t>）</w:t>
            </w:r>
          </w:p>
        </w:tc>
        <w:tc>
          <w:tcPr>
            <w:tcW w:w="1890" w:type="pct"/>
            <w:vAlign w:val="center"/>
          </w:tcPr>
          <w:p w14:paraId="2C5DD1F9">
            <w:pPr>
              <w:pStyle w:val="42"/>
              <w:rPr>
                <w:color w:val="auto"/>
                <w:sz w:val="24"/>
                <w:szCs w:val="24"/>
              </w:rPr>
            </w:pPr>
            <w:r>
              <w:rPr>
                <w:color w:val="auto"/>
                <w:sz w:val="24"/>
                <w:szCs w:val="24"/>
              </w:rPr>
              <w:t>876.2（占地面积）</w:t>
            </w:r>
          </w:p>
        </w:tc>
      </w:tr>
      <w:tr w14:paraId="09AA4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5" w:type="pct"/>
            <w:vAlign w:val="center"/>
          </w:tcPr>
          <w:p w14:paraId="764732FE">
            <w:pPr>
              <w:pStyle w:val="42"/>
              <w:rPr>
                <w:color w:val="auto"/>
                <w:kern w:val="0"/>
              </w:rPr>
            </w:pPr>
            <w:r>
              <w:rPr>
                <w:color w:val="auto"/>
                <w:sz w:val="24"/>
                <w:szCs w:val="24"/>
              </w:rPr>
              <w:t>专项评价设置情况</w:t>
            </w:r>
          </w:p>
        </w:tc>
        <w:tc>
          <w:tcPr>
            <w:tcW w:w="4444" w:type="pct"/>
            <w:gridSpan w:val="3"/>
            <w:vAlign w:val="center"/>
          </w:tcPr>
          <w:p w14:paraId="247C43D8">
            <w:pPr>
              <w:widowControl/>
              <w:ind w:firstLine="480"/>
              <w:rPr>
                <w:color w:val="auto"/>
                <w:kern w:val="0"/>
                <w:szCs w:val="24"/>
              </w:rPr>
            </w:pPr>
            <w:r>
              <w:rPr>
                <w:bCs/>
                <w:color w:val="auto"/>
                <w:szCs w:val="24"/>
              </w:rPr>
              <w:t>对照专项评价具体设置原则，本项目</w:t>
            </w:r>
            <w:r>
              <w:rPr>
                <w:rFonts w:hint="eastAsia"/>
                <w:bCs/>
                <w:color w:val="auto"/>
                <w:szCs w:val="24"/>
                <w:lang w:val="en-US" w:eastAsia="zh-CN"/>
              </w:rPr>
              <w:t>无</w:t>
            </w:r>
            <w:r>
              <w:rPr>
                <w:bCs/>
                <w:color w:val="auto"/>
                <w:szCs w:val="24"/>
              </w:rPr>
              <w:t>需设置专项评价，具体见表1-1</w:t>
            </w:r>
            <w:r>
              <w:rPr>
                <w:color w:val="auto"/>
                <w:kern w:val="0"/>
                <w:szCs w:val="24"/>
              </w:rPr>
              <w:t>。</w:t>
            </w:r>
          </w:p>
          <w:p w14:paraId="4E437BD3">
            <w:pPr>
              <w:widowControl/>
              <w:spacing w:line="240" w:lineRule="auto"/>
              <w:ind w:firstLine="482"/>
              <w:jc w:val="center"/>
              <w:rPr>
                <w:b/>
                <w:bCs/>
                <w:color w:val="auto"/>
                <w:kern w:val="0"/>
                <w:szCs w:val="24"/>
              </w:rPr>
            </w:pPr>
            <w:r>
              <w:rPr>
                <w:b/>
                <w:bCs/>
                <w:color w:val="auto"/>
                <w:kern w:val="0"/>
                <w:szCs w:val="24"/>
              </w:rPr>
              <w:t>表1-1</w:t>
            </w:r>
            <w:r>
              <w:rPr>
                <w:b/>
                <w:bCs/>
                <w:color w:val="auto"/>
                <w:kern w:val="0"/>
                <w:szCs w:val="24"/>
                <w:lang w:bidi="ar"/>
              </w:rPr>
              <w:t>专项评价设置原则表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36" w:type="dxa"/>
                <w:bottom w:w="0" w:type="dxa"/>
                <w:right w:w="136" w:type="dxa"/>
              </w:tblCellMar>
            </w:tblPr>
            <w:tblGrid>
              <w:gridCol w:w="1079"/>
              <w:gridCol w:w="2752"/>
              <w:gridCol w:w="2552"/>
              <w:gridCol w:w="799"/>
            </w:tblGrid>
            <w:tr w14:paraId="1BD40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36" w:type="dxa"/>
                  <w:bottom w:w="0" w:type="dxa"/>
                  <w:right w:w="136" w:type="dxa"/>
                </w:tblCellMar>
              </w:tblPrEx>
              <w:trPr>
                <w:trHeight w:val="822" w:hRule="atLeast"/>
                <w:jc w:val="center"/>
              </w:trPr>
              <w:tc>
                <w:tcPr>
                  <w:tcW w:w="751" w:type="pct"/>
                  <w:tcBorders>
                    <w:bottom w:val="single" w:color="auto" w:sz="4" w:space="0"/>
                  </w:tcBorders>
                  <w:vAlign w:val="center"/>
                </w:tcPr>
                <w:p w14:paraId="0DF23D00">
                  <w:pPr>
                    <w:pStyle w:val="42"/>
                    <w:rPr>
                      <w:b/>
                      <w:bCs/>
                      <w:color w:val="auto"/>
                    </w:rPr>
                  </w:pPr>
                  <w:r>
                    <w:rPr>
                      <w:b/>
                      <w:bCs/>
                      <w:color w:val="auto"/>
                    </w:rPr>
                    <w:t>专项评价</w:t>
                  </w:r>
                </w:p>
                <w:p w14:paraId="211AD955">
                  <w:pPr>
                    <w:pStyle w:val="42"/>
                    <w:rPr>
                      <w:b/>
                      <w:bCs/>
                      <w:color w:val="auto"/>
                    </w:rPr>
                  </w:pPr>
                  <w:r>
                    <w:rPr>
                      <w:b/>
                      <w:bCs/>
                      <w:color w:val="auto"/>
                    </w:rPr>
                    <w:t>的类别</w:t>
                  </w:r>
                </w:p>
              </w:tc>
              <w:tc>
                <w:tcPr>
                  <w:tcW w:w="1915" w:type="pct"/>
                  <w:tcBorders>
                    <w:bottom w:val="single" w:color="auto" w:sz="4" w:space="0"/>
                  </w:tcBorders>
                  <w:tcMar>
                    <w:top w:w="0" w:type="dxa"/>
                    <w:left w:w="0" w:type="dxa"/>
                    <w:bottom w:w="0" w:type="dxa"/>
                    <w:right w:w="0" w:type="dxa"/>
                  </w:tcMar>
                  <w:vAlign w:val="center"/>
                </w:tcPr>
                <w:p w14:paraId="1E104B6D">
                  <w:pPr>
                    <w:pStyle w:val="42"/>
                    <w:rPr>
                      <w:b/>
                      <w:bCs/>
                      <w:color w:val="auto"/>
                    </w:rPr>
                  </w:pPr>
                  <w:r>
                    <w:rPr>
                      <w:b/>
                      <w:bCs/>
                      <w:color w:val="auto"/>
                    </w:rPr>
                    <w:t>涉及项目类别</w:t>
                  </w:r>
                </w:p>
              </w:tc>
              <w:tc>
                <w:tcPr>
                  <w:tcW w:w="1776" w:type="pct"/>
                  <w:tcBorders>
                    <w:bottom w:val="single" w:color="auto" w:sz="4" w:space="0"/>
                  </w:tcBorders>
                  <w:tcMar>
                    <w:top w:w="0" w:type="dxa"/>
                    <w:left w:w="0" w:type="dxa"/>
                    <w:bottom w:w="0" w:type="dxa"/>
                    <w:right w:w="0" w:type="dxa"/>
                  </w:tcMar>
                  <w:vAlign w:val="center"/>
                </w:tcPr>
                <w:p w14:paraId="722A5B41">
                  <w:pPr>
                    <w:pStyle w:val="42"/>
                    <w:rPr>
                      <w:b/>
                      <w:bCs/>
                      <w:color w:val="auto"/>
                    </w:rPr>
                  </w:pPr>
                  <w:r>
                    <w:rPr>
                      <w:b/>
                      <w:bCs/>
                      <w:color w:val="auto"/>
                    </w:rPr>
                    <w:t>分析</w:t>
                  </w:r>
                </w:p>
              </w:tc>
              <w:tc>
                <w:tcPr>
                  <w:tcW w:w="556" w:type="pct"/>
                  <w:tcBorders>
                    <w:bottom w:val="single" w:color="auto" w:sz="4" w:space="0"/>
                  </w:tcBorders>
                  <w:vAlign w:val="center"/>
                </w:tcPr>
                <w:p w14:paraId="5DFBB177">
                  <w:pPr>
                    <w:pStyle w:val="42"/>
                    <w:rPr>
                      <w:b/>
                      <w:bCs/>
                      <w:color w:val="auto"/>
                    </w:rPr>
                  </w:pPr>
                  <w:r>
                    <w:rPr>
                      <w:b/>
                      <w:bCs/>
                      <w:color w:val="auto"/>
                    </w:rPr>
                    <w:t>专项设置情况</w:t>
                  </w:r>
                </w:p>
              </w:tc>
            </w:tr>
            <w:tr w14:paraId="789F6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36" w:type="dxa"/>
                  <w:bottom w:w="0" w:type="dxa"/>
                  <w:right w:w="136" w:type="dxa"/>
                </w:tblCellMar>
              </w:tblPrEx>
              <w:trPr>
                <w:trHeight w:val="1274" w:hRule="atLeast"/>
                <w:jc w:val="center"/>
              </w:trPr>
              <w:tc>
                <w:tcPr>
                  <w:tcW w:w="751" w:type="pct"/>
                  <w:tcBorders>
                    <w:top w:val="single" w:color="auto" w:sz="4" w:space="0"/>
                    <w:tl2br w:val="nil"/>
                    <w:tr2bl w:val="nil"/>
                  </w:tcBorders>
                  <w:vAlign w:val="center"/>
                </w:tcPr>
                <w:p w14:paraId="314E6F9F">
                  <w:pPr>
                    <w:pStyle w:val="42"/>
                    <w:rPr>
                      <w:color w:val="auto"/>
                    </w:rPr>
                  </w:pPr>
                  <w:r>
                    <w:rPr>
                      <w:color w:val="auto"/>
                    </w:rPr>
                    <w:t>大气</w:t>
                  </w:r>
                </w:p>
              </w:tc>
              <w:tc>
                <w:tcPr>
                  <w:tcW w:w="1915" w:type="pct"/>
                  <w:tcBorders>
                    <w:top w:val="single" w:color="auto" w:sz="4" w:space="0"/>
                    <w:tl2br w:val="nil"/>
                    <w:tr2bl w:val="nil"/>
                  </w:tcBorders>
                  <w:tcMar>
                    <w:top w:w="0" w:type="dxa"/>
                    <w:left w:w="0" w:type="dxa"/>
                    <w:bottom w:w="0" w:type="dxa"/>
                    <w:right w:w="0" w:type="dxa"/>
                  </w:tcMar>
                  <w:vAlign w:val="center"/>
                </w:tcPr>
                <w:p w14:paraId="291CFD75">
                  <w:pPr>
                    <w:pStyle w:val="42"/>
                    <w:rPr>
                      <w:color w:val="auto"/>
                    </w:rPr>
                  </w:pPr>
                  <w:r>
                    <w:rPr>
                      <w:color w:val="auto"/>
                    </w:rPr>
                    <w:t>排放废气含有毒有害污染物1、二噁英、苯并</w:t>
                  </w:r>
                  <w:r>
                    <w:rPr>
                      <w:rFonts w:hint="eastAsia"/>
                      <w:color w:val="auto"/>
                    </w:rPr>
                    <w:t>〔</w:t>
                  </w:r>
                  <w:r>
                    <w:rPr>
                      <w:color w:val="auto"/>
                    </w:rPr>
                    <w:t>a</w:t>
                  </w:r>
                  <w:r>
                    <w:rPr>
                      <w:rFonts w:hint="eastAsia"/>
                      <w:color w:val="auto"/>
                    </w:rPr>
                    <w:t>〕</w:t>
                  </w:r>
                  <w:r>
                    <w:rPr>
                      <w:color w:val="auto"/>
                    </w:rPr>
                    <w:t>芘、氰化物、氯气且厂界外500米范围内有环境空气保护目标的建设项目。</w:t>
                  </w:r>
                </w:p>
              </w:tc>
              <w:tc>
                <w:tcPr>
                  <w:tcW w:w="1776" w:type="pct"/>
                  <w:tcBorders>
                    <w:top w:val="single" w:color="auto" w:sz="4" w:space="0"/>
                    <w:tl2br w:val="nil"/>
                    <w:tr2bl w:val="nil"/>
                  </w:tcBorders>
                  <w:tcMar>
                    <w:top w:w="0" w:type="dxa"/>
                    <w:left w:w="0" w:type="dxa"/>
                    <w:bottom w:w="0" w:type="dxa"/>
                    <w:right w:w="0" w:type="dxa"/>
                  </w:tcMar>
                  <w:vAlign w:val="center"/>
                </w:tcPr>
                <w:p w14:paraId="58342B0C">
                  <w:pPr>
                    <w:pStyle w:val="42"/>
                    <w:rPr>
                      <w:color w:val="auto"/>
                    </w:rPr>
                  </w:pPr>
                  <w:r>
                    <w:rPr>
                      <w:color w:val="auto"/>
                    </w:rPr>
                    <w:t>本项目排放的废气不涉及有毒有害污染物、二噁英、苯并</w:t>
                  </w:r>
                  <w:r>
                    <w:rPr>
                      <w:rFonts w:hint="eastAsia"/>
                      <w:color w:val="auto"/>
                    </w:rPr>
                    <w:t>〔</w:t>
                  </w:r>
                  <w:r>
                    <w:rPr>
                      <w:color w:val="auto"/>
                    </w:rPr>
                    <w:t>a</w:t>
                  </w:r>
                  <w:r>
                    <w:rPr>
                      <w:rFonts w:hint="eastAsia"/>
                      <w:color w:val="auto"/>
                    </w:rPr>
                    <w:t>〕</w:t>
                  </w:r>
                  <w:r>
                    <w:rPr>
                      <w:color w:val="auto"/>
                    </w:rPr>
                    <w:t>芘、氰化物、氯气。</w:t>
                  </w:r>
                </w:p>
              </w:tc>
              <w:tc>
                <w:tcPr>
                  <w:tcW w:w="556" w:type="pct"/>
                  <w:tcBorders>
                    <w:top w:val="single" w:color="auto" w:sz="4" w:space="0"/>
                    <w:tl2br w:val="nil"/>
                    <w:tr2bl w:val="nil"/>
                  </w:tcBorders>
                  <w:vAlign w:val="center"/>
                </w:tcPr>
                <w:p w14:paraId="64645861">
                  <w:pPr>
                    <w:pStyle w:val="42"/>
                    <w:rPr>
                      <w:color w:val="auto"/>
                    </w:rPr>
                  </w:pPr>
                  <w:r>
                    <w:rPr>
                      <w:color w:val="auto"/>
                    </w:rPr>
                    <w:t>无需设置</w:t>
                  </w:r>
                </w:p>
              </w:tc>
            </w:tr>
            <w:tr w14:paraId="62525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36" w:type="dxa"/>
                  <w:bottom w:w="0" w:type="dxa"/>
                  <w:right w:w="136" w:type="dxa"/>
                </w:tblCellMar>
              </w:tblPrEx>
              <w:trPr>
                <w:trHeight w:val="1115" w:hRule="atLeast"/>
                <w:jc w:val="center"/>
              </w:trPr>
              <w:tc>
                <w:tcPr>
                  <w:tcW w:w="751" w:type="pct"/>
                  <w:tcBorders>
                    <w:tl2br w:val="nil"/>
                    <w:tr2bl w:val="nil"/>
                  </w:tcBorders>
                  <w:vAlign w:val="center"/>
                </w:tcPr>
                <w:p w14:paraId="161C6CEE">
                  <w:pPr>
                    <w:pStyle w:val="42"/>
                    <w:rPr>
                      <w:color w:val="auto"/>
                    </w:rPr>
                  </w:pPr>
                  <w:r>
                    <w:rPr>
                      <w:color w:val="auto"/>
                    </w:rPr>
                    <w:t>地表水</w:t>
                  </w:r>
                </w:p>
              </w:tc>
              <w:tc>
                <w:tcPr>
                  <w:tcW w:w="1915" w:type="pct"/>
                  <w:tcBorders>
                    <w:tl2br w:val="nil"/>
                    <w:tr2bl w:val="nil"/>
                  </w:tcBorders>
                  <w:tcMar>
                    <w:top w:w="0" w:type="dxa"/>
                    <w:left w:w="0" w:type="dxa"/>
                    <w:bottom w:w="0" w:type="dxa"/>
                    <w:right w:w="0" w:type="dxa"/>
                  </w:tcMar>
                  <w:vAlign w:val="center"/>
                </w:tcPr>
                <w:p w14:paraId="5B8BA194">
                  <w:pPr>
                    <w:pStyle w:val="42"/>
                    <w:rPr>
                      <w:color w:val="auto"/>
                    </w:rPr>
                  </w:pPr>
                  <w:r>
                    <w:rPr>
                      <w:color w:val="auto"/>
                    </w:rPr>
                    <w:t>新增工业废水直排建设项目（槽罐车外送污水处理厂的除外）；</w:t>
                  </w:r>
                </w:p>
                <w:p w14:paraId="16C290AC">
                  <w:pPr>
                    <w:pStyle w:val="42"/>
                    <w:rPr>
                      <w:color w:val="auto"/>
                    </w:rPr>
                  </w:pPr>
                  <w:r>
                    <w:rPr>
                      <w:color w:val="auto"/>
                    </w:rPr>
                    <w:t>新增废水直排的污水集中处理厂。</w:t>
                  </w:r>
                </w:p>
              </w:tc>
              <w:tc>
                <w:tcPr>
                  <w:tcW w:w="1776" w:type="pct"/>
                  <w:tcBorders>
                    <w:tl2br w:val="nil"/>
                    <w:tr2bl w:val="nil"/>
                  </w:tcBorders>
                  <w:tcMar>
                    <w:top w:w="0" w:type="dxa"/>
                    <w:left w:w="0" w:type="dxa"/>
                    <w:bottom w:w="0" w:type="dxa"/>
                    <w:right w:w="0" w:type="dxa"/>
                  </w:tcMar>
                  <w:vAlign w:val="center"/>
                </w:tcPr>
                <w:p w14:paraId="4134CB29">
                  <w:pPr>
                    <w:pStyle w:val="42"/>
                    <w:rPr>
                      <w:color w:val="auto"/>
                    </w:rPr>
                  </w:pPr>
                  <w:r>
                    <w:rPr>
                      <w:color w:val="auto"/>
                    </w:rPr>
                    <w:t>本项目废水主要为生活污水，生活污水接管至江阴市城南污水处理有限公司集中处置，不需设置地表水专项。</w:t>
                  </w:r>
                </w:p>
              </w:tc>
              <w:tc>
                <w:tcPr>
                  <w:tcW w:w="556" w:type="pct"/>
                  <w:tcBorders>
                    <w:tl2br w:val="nil"/>
                    <w:tr2bl w:val="nil"/>
                  </w:tcBorders>
                  <w:vAlign w:val="center"/>
                </w:tcPr>
                <w:p w14:paraId="2162B1F9">
                  <w:pPr>
                    <w:pStyle w:val="42"/>
                    <w:rPr>
                      <w:color w:val="auto"/>
                    </w:rPr>
                  </w:pPr>
                  <w:r>
                    <w:rPr>
                      <w:color w:val="auto"/>
                    </w:rPr>
                    <w:t>无需设置</w:t>
                  </w:r>
                </w:p>
              </w:tc>
            </w:tr>
            <w:tr w14:paraId="0F927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36" w:type="dxa"/>
                  <w:bottom w:w="0" w:type="dxa"/>
                  <w:right w:w="136" w:type="dxa"/>
                </w:tblCellMar>
              </w:tblPrEx>
              <w:trPr>
                <w:trHeight w:val="841" w:hRule="atLeast"/>
                <w:jc w:val="center"/>
              </w:trPr>
              <w:tc>
                <w:tcPr>
                  <w:tcW w:w="751" w:type="pct"/>
                  <w:tcBorders>
                    <w:tl2br w:val="nil"/>
                    <w:tr2bl w:val="nil"/>
                  </w:tcBorders>
                  <w:vAlign w:val="center"/>
                </w:tcPr>
                <w:p w14:paraId="0C8460A7">
                  <w:pPr>
                    <w:pStyle w:val="42"/>
                    <w:rPr>
                      <w:color w:val="auto"/>
                    </w:rPr>
                  </w:pPr>
                  <w:r>
                    <w:rPr>
                      <w:color w:val="auto"/>
                    </w:rPr>
                    <w:t>环境风险</w:t>
                  </w:r>
                </w:p>
              </w:tc>
              <w:tc>
                <w:tcPr>
                  <w:tcW w:w="1915" w:type="pct"/>
                  <w:tcBorders>
                    <w:tl2br w:val="nil"/>
                    <w:tr2bl w:val="nil"/>
                  </w:tcBorders>
                  <w:tcMar>
                    <w:top w:w="0" w:type="dxa"/>
                    <w:left w:w="0" w:type="dxa"/>
                    <w:bottom w:w="0" w:type="dxa"/>
                    <w:right w:w="0" w:type="dxa"/>
                  </w:tcMar>
                  <w:vAlign w:val="center"/>
                </w:tcPr>
                <w:p w14:paraId="4D7CA070">
                  <w:pPr>
                    <w:pStyle w:val="42"/>
                    <w:rPr>
                      <w:color w:val="auto"/>
                    </w:rPr>
                  </w:pPr>
                  <w:r>
                    <w:rPr>
                      <w:color w:val="auto"/>
                    </w:rPr>
                    <w:t>有毒有害和易燃易爆危险物质存储量超过临界量的建设项目。</w:t>
                  </w:r>
                </w:p>
              </w:tc>
              <w:tc>
                <w:tcPr>
                  <w:tcW w:w="1776" w:type="pct"/>
                  <w:tcBorders>
                    <w:tl2br w:val="nil"/>
                    <w:tr2bl w:val="nil"/>
                  </w:tcBorders>
                  <w:tcMar>
                    <w:top w:w="0" w:type="dxa"/>
                    <w:left w:w="0" w:type="dxa"/>
                    <w:bottom w:w="0" w:type="dxa"/>
                    <w:right w:w="0" w:type="dxa"/>
                  </w:tcMar>
                  <w:vAlign w:val="center"/>
                </w:tcPr>
                <w:p w14:paraId="4123C440">
                  <w:pPr>
                    <w:pStyle w:val="42"/>
                    <w:rPr>
                      <w:color w:val="auto"/>
                    </w:rPr>
                  </w:pPr>
                  <w:r>
                    <w:rPr>
                      <w:color w:val="auto"/>
                    </w:rPr>
                    <w:t>本项目有毒有害和易燃易爆危险物质存储量均不超过临界量，不需设置环境风险专项。</w:t>
                  </w:r>
                </w:p>
              </w:tc>
              <w:tc>
                <w:tcPr>
                  <w:tcW w:w="556" w:type="pct"/>
                  <w:tcBorders>
                    <w:tl2br w:val="nil"/>
                    <w:tr2bl w:val="nil"/>
                  </w:tcBorders>
                  <w:vAlign w:val="center"/>
                </w:tcPr>
                <w:p w14:paraId="142CA3BE">
                  <w:pPr>
                    <w:pStyle w:val="42"/>
                    <w:rPr>
                      <w:color w:val="auto"/>
                    </w:rPr>
                  </w:pPr>
                  <w:r>
                    <w:rPr>
                      <w:color w:val="auto"/>
                    </w:rPr>
                    <w:t>无需设置</w:t>
                  </w:r>
                </w:p>
              </w:tc>
            </w:tr>
            <w:tr w14:paraId="5D886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36" w:type="dxa"/>
                  <w:bottom w:w="0" w:type="dxa"/>
                  <w:right w:w="136" w:type="dxa"/>
                </w:tblCellMar>
              </w:tblPrEx>
              <w:trPr>
                <w:trHeight w:val="1274" w:hRule="atLeast"/>
                <w:jc w:val="center"/>
              </w:trPr>
              <w:tc>
                <w:tcPr>
                  <w:tcW w:w="751" w:type="pct"/>
                  <w:tcBorders>
                    <w:tl2br w:val="nil"/>
                    <w:tr2bl w:val="nil"/>
                  </w:tcBorders>
                  <w:vAlign w:val="center"/>
                </w:tcPr>
                <w:p w14:paraId="00F9B4E8">
                  <w:pPr>
                    <w:pStyle w:val="42"/>
                    <w:rPr>
                      <w:color w:val="auto"/>
                    </w:rPr>
                  </w:pPr>
                  <w:r>
                    <w:rPr>
                      <w:color w:val="auto"/>
                    </w:rPr>
                    <w:t>生态</w:t>
                  </w:r>
                </w:p>
              </w:tc>
              <w:tc>
                <w:tcPr>
                  <w:tcW w:w="1915" w:type="pct"/>
                  <w:tcBorders>
                    <w:tl2br w:val="nil"/>
                    <w:tr2bl w:val="nil"/>
                  </w:tcBorders>
                  <w:tcMar>
                    <w:top w:w="0" w:type="dxa"/>
                    <w:left w:w="0" w:type="dxa"/>
                    <w:bottom w:w="0" w:type="dxa"/>
                    <w:right w:w="0" w:type="dxa"/>
                  </w:tcMar>
                  <w:vAlign w:val="center"/>
                </w:tcPr>
                <w:p w14:paraId="069DC967">
                  <w:pPr>
                    <w:pStyle w:val="42"/>
                    <w:rPr>
                      <w:color w:val="auto"/>
                    </w:rPr>
                  </w:pPr>
                  <w:r>
                    <w:rPr>
                      <w:color w:val="auto"/>
                    </w:rPr>
                    <w:t>取水口下游500米范围内有重要水生生物的自然产卵场、索饵场、越冬场和洄游通道的新增河道取水的污染类建设项目。</w:t>
                  </w:r>
                </w:p>
              </w:tc>
              <w:tc>
                <w:tcPr>
                  <w:tcW w:w="1776" w:type="pct"/>
                  <w:tcBorders>
                    <w:tl2br w:val="nil"/>
                    <w:tr2bl w:val="nil"/>
                  </w:tcBorders>
                  <w:tcMar>
                    <w:top w:w="0" w:type="dxa"/>
                    <w:left w:w="0" w:type="dxa"/>
                    <w:bottom w:w="0" w:type="dxa"/>
                    <w:right w:w="0" w:type="dxa"/>
                  </w:tcMar>
                  <w:vAlign w:val="center"/>
                </w:tcPr>
                <w:p w14:paraId="6E4432D5">
                  <w:pPr>
                    <w:pStyle w:val="42"/>
                    <w:rPr>
                      <w:color w:val="auto"/>
                    </w:rPr>
                  </w:pPr>
                  <w:r>
                    <w:rPr>
                      <w:color w:val="auto"/>
                    </w:rPr>
                    <w:t>本项目不使用河水，不新增取水口，不需设置生态专项。</w:t>
                  </w:r>
                </w:p>
              </w:tc>
              <w:tc>
                <w:tcPr>
                  <w:tcW w:w="556" w:type="pct"/>
                  <w:tcBorders>
                    <w:tl2br w:val="nil"/>
                    <w:tr2bl w:val="nil"/>
                  </w:tcBorders>
                  <w:vAlign w:val="center"/>
                </w:tcPr>
                <w:p w14:paraId="495F067A">
                  <w:pPr>
                    <w:pStyle w:val="42"/>
                    <w:rPr>
                      <w:color w:val="auto"/>
                    </w:rPr>
                  </w:pPr>
                  <w:r>
                    <w:rPr>
                      <w:color w:val="auto"/>
                    </w:rPr>
                    <w:t>无需设置</w:t>
                  </w:r>
                </w:p>
              </w:tc>
            </w:tr>
            <w:tr w14:paraId="28279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36" w:type="dxa"/>
                  <w:bottom w:w="0" w:type="dxa"/>
                  <w:right w:w="136" w:type="dxa"/>
                </w:tblCellMar>
              </w:tblPrEx>
              <w:trPr>
                <w:trHeight w:val="627" w:hRule="atLeast"/>
                <w:jc w:val="center"/>
              </w:trPr>
              <w:tc>
                <w:tcPr>
                  <w:tcW w:w="751" w:type="pct"/>
                  <w:tcBorders>
                    <w:tl2br w:val="nil"/>
                    <w:tr2bl w:val="nil"/>
                  </w:tcBorders>
                  <w:vAlign w:val="center"/>
                </w:tcPr>
                <w:p w14:paraId="5446A63C">
                  <w:pPr>
                    <w:pStyle w:val="42"/>
                    <w:rPr>
                      <w:color w:val="auto"/>
                    </w:rPr>
                  </w:pPr>
                  <w:r>
                    <w:rPr>
                      <w:color w:val="auto"/>
                    </w:rPr>
                    <w:t>海洋</w:t>
                  </w:r>
                </w:p>
              </w:tc>
              <w:tc>
                <w:tcPr>
                  <w:tcW w:w="1915" w:type="pct"/>
                  <w:tcBorders>
                    <w:tl2br w:val="nil"/>
                    <w:tr2bl w:val="nil"/>
                  </w:tcBorders>
                  <w:tcMar>
                    <w:top w:w="0" w:type="dxa"/>
                    <w:left w:w="0" w:type="dxa"/>
                    <w:bottom w:w="0" w:type="dxa"/>
                    <w:right w:w="0" w:type="dxa"/>
                  </w:tcMar>
                  <w:vAlign w:val="center"/>
                </w:tcPr>
                <w:p w14:paraId="35642ABB">
                  <w:pPr>
                    <w:pStyle w:val="42"/>
                    <w:rPr>
                      <w:color w:val="auto"/>
                    </w:rPr>
                  </w:pPr>
                  <w:r>
                    <w:rPr>
                      <w:color w:val="auto"/>
                    </w:rPr>
                    <w:t>直接向海排放污染物的海洋工程建设项目。</w:t>
                  </w:r>
                </w:p>
              </w:tc>
              <w:tc>
                <w:tcPr>
                  <w:tcW w:w="1776" w:type="pct"/>
                  <w:tcBorders>
                    <w:tl2br w:val="nil"/>
                    <w:tr2bl w:val="nil"/>
                  </w:tcBorders>
                  <w:tcMar>
                    <w:top w:w="0" w:type="dxa"/>
                    <w:left w:w="0" w:type="dxa"/>
                    <w:bottom w:w="0" w:type="dxa"/>
                    <w:right w:w="0" w:type="dxa"/>
                  </w:tcMar>
                  <w:vAlign w:val="center"/>
                </w:tcPr>
                <w:p w14:paraId="5EC82717">
                  <w:pPr>
                    <w:pStyle w:val="42"/>
                    <w:rPr>
                      <w:color w:val="auto"/>
                    </w:rPr>
                  </w:pPr>
                  <w:r>
                    <w:rPr>
                      <w:color w:val="auto"/>
                    </w:rPr>
                    <w:t>本项目不属于海洋工程，不新增排水，不需设置海洋专项。</w:t>
                  </w:r>
                </w:p>
              </w:tc>
              <w:tc>
                <w:tcPr>
                  <w:tcW w:w="556" w:type="pct"/>
                  <w:tcBorders>
                    <w:tl2br w:val="nil"/>
                    <w:tr2bl w:val="nil"/>
                  </w:tcBorders>
                  <w:vAlign w:val="center"/>
                </w:tcPr>
                <w:p w14:paraId="3F90916B">
                  <w:pPr>
                    <w:pStyle w:val="42"/>
                    <w:rPr>
                      <w:color w:val="auto"/>
                    </w:rPr>
                  </w:pPr>
                  <w:r>
                    <w:rPr>
                      <w:color w:val="auto"/>
                    </w:rPr>
                    <w:t>无需设置</w:t>
                  </w:r>
                </w:p>
              </w:tc>
            </w:tr>
          </w:tbl>
          <w:p w14:paraId="12D4D2DE">
            <w:pPr>
              <w:autoSpaceDE w:val="0"/>
              <w:autoSpaceDN w:val="0"/>
              <w:adjustRightInd w:val="0"/>
              <w:snapToGrid w:val="0"/>
              <w:spacing w:line="240" w:lineRule="auto"/>
              <w:ind w:firstLine="480"/>
              <w:jc w:val="left"/>
              <w:rPr>
                <w:color w:val="auto"/>
                <w:kern w:val="0"/>
              </w:rPr>
            </w:pPr>
          </w:p>
        </w:tc>
      </w:tr>
      <w:tr w14:paraId="2B132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5" w:type="pct"/>
            <w:vAlign w:val="center"/>
          </w:tcPr>
          <w:p w14:paraId="64612FAA">
            <w:pPr>
              <w:pStyle w:val="42"/>
              <w:rPr>
                <w:color w:val="auto"/>
                <w:sz w:val="24"/>
                <w:szCs w:val="24"/>
              </w:rPr>
            </w:pPr>
            <w:r>
              <w:rPr>
                <w:color w:val="auto"/>
                <w:sz w:val="24"/>
                <w:szCs w:val="24"/>
              </w:rPr>
              <w:t>规划情况</w:t>
            </w:r>
          </w:p>
        </w:tc>
        <w:tc>
          <w:tcPr>
            <w:tcW w:w="7401" w:type="dxa"/>
            <w:gridSpan w:val="3"/>
            <w:vAlign w:val="center"/>
          </w:tcPr>
          <w:p w14:paraId="5BF6137E">
            <w:pPr>
              <w:autoSpaceDE w:val="0"/>
              <w:autoSpaceDN w:val="0"/>
              <w:adjustRightInd w:val="0"/>
              <w:snapToGrid w:val="0"/>
              <w:ind w:firstLine="0" w:firstLineChars="0"/>
              <w:jc w:val="left"/>
              <w:rPr>
                <w:color w:val="auto"/>
              </w:rPr>
            </w:pPr>
            <w:r>
              <w:rPr>
                <w:color w:val="auto"/>
              </w:rPr>
              <w:t>《江阴市青阳镇总体规划（2012-2030）》（澄政复[2013]38号）</w:t>
            </w:r>
          </w:p>
          <w:p w14:paraId="389FEFE3">
            <w:pPr>
              <w:autoSpaceDE w:val="0"/>
              <w:autoSpaceDN w:val="0"/>
              <w:adjustRightInd w:val="0"/>
              <w:snapToGrid w:val="0"/>
              <w:ind w:firstLine="0" w:firstLineChars="0"/>
              <w:jc w:val="left"/>
              <w:rPr>
                <w:color w:val="auto"/>
              </w:rPr>
            </w:pPr>
            <w:r>
              <w:rPr>
                <w:color w:val="auto"/>
              </w:rPr>
              <w:t>《江阴市高新技术产业开发区青阳园区控制性详细规划》（澄政复[2013]43号）</w:t>
            </w:r>
          </w:p>
          <w:p w14:paraId="05DBB287">
            <w:pPr>
              <w:autoSpaceDE w:val="0"/>
              <w:autoSpaceDN w:val="0"/>
              <w:adjustRightInd w:val="0"/>
              <w:snapToGrid w:val="0"/>
              <w:ind w:firstLine="0" w:firstLineChars="0"/>
              <w:jc w:val="left"/>
              <w:rPr>
                <w:color w:val="auto"/>
                <w:kern w:val="0"/>
                <w:szCs w:val="24"/>
              </w:rPr>
            </w:pPr>
            <w:r>
              <w:rPr>
                <w:color w:val="auto"/>
              </w:rPr>
              <w:t>《江阴市青阳镇控制性详细规划》（澄政复[2013]44号）</w:t>
            </w:r>
          </w:p>
          <w:p w14:paraId="02E6E880">
            <w:pPr>
              <w:autoSpaceDE w:val="0"/>
              <w:autoSpaceDN w:val="0"/>
              <w:adjustRightInd w:val="0"/>
              <w:snapToGrid w:val="0"/>
              <w:ind w:firstLine="0" w:firstLineChars="0"/>
              <w:jc w:val="left"/>
              <w:rPr>
                <w:color w:val="auto"/>
                <w:kern w:val="0"/>
                <w:szCs w:val="24"/>
              </w:rPr>
            </w:pPr>
            <w:r>
              <w:rPr>
                <w:color w:val="auto"/>
                <w:kern w:val="0"/>
                <w:szCs w:val="24"/>
              </w:rPr>
              <w:t>《关于印发&lt;江阴市镇（街）工业园区四至范围&gt;的通知》（澄工改办</w:t>
            </w:r>
            <w:r>
              <w:rPr>
                <w:rFonts w:hint="eastAsia"/>
                <w:color w:val="auto"/>
                <w:kern w:val="0"/>
                <w:szCs w:val="24"/>
              </w:rPr>
              <w:t>〔</w:t>
            </w:r>
            <w:r>
              <w:rPr>
                <w:color w:val="auto"/>
                <w:kern w:val="0"/>
                <w:szCs w:val="24"/>
              </w:rPr>
              <w:t>2022</w:t>
            </w:r>
            <w:r>
              <w:rPr>
                <w:rFonts w:hint="eastAsia"/>
                <w:color w:val="auto"/>
                <w:kern w:val="0"/>
                <w:szCs w:val="24"/>
              </w:rPr>
              <w:t>〕</w:t>
            </w:r>
            <w:r>
              <w:rPr>
                <w:color w:val="auto"/>
                <w:kern w:val="0"/>
                <w:szCs w:val="24"/>
              </w:rPr>
              <w:t>1号）</w:t>
            </w:r>
          </w:p>
          <w:p w14:paraId="2C6AAA2C">
            <w:pPr>
              <w:autoSpaceDE w:val="0"/>
              <w:autoSpaceDN w:val="0"/>
              <w:adjustRightInd w:val="0"/>
              <w:snapToGrid w:val="0"/>
              <w:ind w:firstLine="0" w:firstLineChars="0"/>
              <w:jc w:val="left"/>
              <w:rPr>
                <w:color w:val="auto"/>
              </w:rPr>
            </w:pPr>
            <w:r>
              <w:rPr>
                <w:color w:val="auto"/>
                <w:kern w:val="0"/>
                <w:szCs w:val="24"/>
              </w:rPr>
              <w:t>《关于印发&lt;江阴市工业园区产业定位实施方案&gt;的通知》（澄工改办</w:t>
            </w:r>
            <w:r>
              <w:rPr>
                <w:rFonts w:hint="eastAsia"/>
                <w:color w:val="auto"/>
                <w:kern w:val="0"/>
                <w:szCs w:val="24"/>
              </w:rPr>
              <w:t>〔</w:t>
            </w:r>
            <w:r>
              <w:rPr>
                <w:color w:val="auto"/>
                <w:kern w:val="0"/>
                <w:szCs w:val="24"/>
              </w:rPr>
              <w:t>2022</w:t>
            </w:r>
            <w:r>
              <w:rPr>
                <w:rFonts w:hint="eastAsia"/>
                <w:color w:val="auto"/>
                <w:kern w:val="0"/>
                <w:szCs w:val="24"/>
              </w:rPr>
              <w:t>〕</w:t>
            </w:r>
            <w:r>
              <w:rPr>
                <w:color w:val="auto"/>
                <w:kern w:val="0"/>
                <w:szCs w:val="24"/>
              </w:rPr>
              <w:t>7 号）</w:t>
            </w:r>
          </w:p>
        </w:tc>
      </w:tr>
      <w:tr w14:paraId="704C2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5" w:type="pct"/>
            <w:vAlign w:val="center"/>
          </w:tcPr>
          <w:p w14:paraId="18F20142">
            <w:pPr>
              <w:pStyle w:val="42"/>
              <w:rPr>
                <w:color w:val="auto"/>
                <w:sz w:val="24"/>
                <w:szCs w:val="24"/>
              </w:rPr>
            </w:pPr>
            <w:r>
              <w:rPr>
                <w:color w:val="auto"/>
                <w:sz w:val="24"/>
                <w:szCs w:val="24"/>
              </w:rPr>
              <w:t>规划环境影响评价情况</w:t>
            </w:r>
          </w:p>
        </w:tc>
        <w:tc>
          <w:tcPr>
            <w:tcW w:w="7401" w:type="dxa"/>
            <w:gridSpan w:val="3"/>
            <w:vAlign w:val="center"/>
          </w:tcPr>
          <w:p w14:paraId="1AC617A8">
            <w:pPr>
              <w:autoSpaceDE w:val="0"/>
              <w:autoSpaceDN w:val="0"/>
              <w:adjustRightInd w:val="0"/>
              <w:snapToGrid w:val="0"/>
              <w:ind w:firstLine="0" w:firstLineChars="0"/>
              <w:jc w:val="left"/>
              <w:rPr>
                <w:color w:val="auto"/>
              </w:rPr>
            </w:pPr>
            <w:r>
              <w:rPr>
                <w:color w:val="auto"/>
                <w:szCs w:val="24"/>
              </w:rPr>
              <w:t>规划环境影响评价名称：</w:t>
            </w:r>
            <w:r>
              <w:rPr>
                <w:rFonts w:hint="eastAsia"/>
                <w:color w:val="auto"/>
                <w:szCs w:val="24"/>
              </w:rPr>
              <w:t>《江阴高新技术产业开发区青阳园区总体规划（2013-2030)环境影响报告书》</w:t>
            </w:r>
          </w:p>
          <w:p w14:paraId="21771549">
            <w:pPr>
              <w:autoSpaceDE w:val="0"/>
              <w:autoSpaceDN w:val="0"/>
              <w:adjustRightInd w:val="0"/>
              <w:snapToGrid w:val="0"/>
              <w:ind w:firstLine="0" w:firstLineChars="0"/>
              <w:jc w:val="left"/>
              <w:rPr>
                <w:color w:val="auto"/>
                <w:szCs w:val="24"/>
              </w:rPr>
            </w:pPr>
            <w:r>
              <w:rPr>
                <w:rFonts w:hint="eastAsia"/>
                <w:color w:val="auto"/>
                <w:lang w:val="en-US" w:eastAsia="zh-CN"/>
              </w:rPr>
              <w:t>审查文号：</w:t>
            </w:r>
            <w:r>
              <w:rPr>
                <w:color w:val="auto"/>
              </w:rPr>
              <w:t>澄</w:t>
            </w:r>
            <w:r>
              <w:rPr>
                <w:rFonts w:hint="eastAsia"/>
                <w:color w:val="auto"/>
                <w:lang w:val="en-US" w:eastAsia="zh-CN"/>
              </w:rPr>
              <w:t>环发</w:t>
            </w:r>
            <w:r>
              <w:rPr>
                <w:color w:val="auto"/>
              </w:rPr>
              <w:t>〔201</w:t>
            </w:r>
            <w:r>
              <w:rPr>
                <w:rFonts w:hint="eastAsia"/>
                <w:color w:val="auto"/>
              </w:rPr>
              <w:t>5</w:t>
            </w:r>
            <w:r>
              <w:rPr>
                <w:color w:val="auto"/>
              </w:rPr>
              <w:t>〕</w:t>
            </w:r>
            <w:r>
              <w:rPr>
                <w:rFonts w:hint="eastAsia"/>
                <w:color w:val="auto"/>
              </w:rPr>
              <w:t>45</w:t>
            </w:r>
            <w:r>
              <w:rPr>
                <w:color w:val="auto"/>
              </w:rPr>
              <w:t>号</w:t>
            </w:r>
          </w:p>
          <w:p w14:paraId="1F85575E">
            <w:pPr>
              <w:autoSpaceDE w:val="0"/>
              <w:autoSpaceDN w:val="0"/>
              <w:adjustRightInd w:val="0"/>
              <w:snapToGrid w:val="0"/>
              <w:ind w:firstLine="0" w:firstLineChars="0"/>
              <w:jc w:val="left"/>
              <w:rPr>
                <w:color w:val="auto"/>
                <w:szCs w:val="24"/>
              </w:rPr>
            </w:pPr>
            <w:r>
              <w:rPr>
                <w:color w:val="auto"/>
                <w:szCs w:val="24"/>
              </w:rPr>
              <w:t>审批文件名称及文号：省政府《关于江阴市、宜兴市、锡山区、惠山区、滨湖区、新吴区国土空间总体规划（2021－2035年）》的批复</w:t>
            </w:r>
          </w:p>
          <w:p w14:paraId="5FC4BC76">
            <w:pPr>
              <w:autoSpaceDE w:val="0"/>
              <w:autoSpaceDN w:val="0"/>
              <w:adjustRightInd w:val="0"/>
              <w:snapToGrid w:val="0"/>
              <w:ind w:firstLine="0" w:firstLineChars="0"/>
              <w:jc w:val="left"/>
              <w:rPr>
                <w:color w:val="auto"/>
              </w:rPr>
            </w:pPr>
            <w:r>
              <w:rPr>
                <w:color w:val="auto"/>
                <w:szCs w:val="24"/>
              </w:rPr>
              <w:t>审查文号：苏政复〔2025〕4号</w:t>
            </w:r>
          </w:p>
        </w:tc>
      </w:tr>
      <w:tr w14:paraId="3CD52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55" w:type="pct"/>
            <w:vAlign w:val="center"/>
          </w:tcPr>
          <w:p w14:paraId="3415DA39">
            <w:pPr>
              <w:pStyle w:val="42"/>
              <w:rPr>
                <w:color w:val="auto"/>
                <w:kern w:val="0"/>
              </w:rPr>
            </w:pPr>
            <w:r>
              <w:rPr>
                <w:color w:val="auto"/>
                <w:sz w:val="24"/>
                <w:szCs w:val="24"/>
              </w:rPr>
              <w:t>规划及规划环境影响评价符合性分析</w:t>
            </w:r>
          </w:p>
        </w:tc>
        <w:tc>
          <w:tcPr>
            <w:tcW w:w="4444" w:type="pct"/>
            <w:gridSpan w:val="3"/>
            <w:vAlign w:val="center"/>
          </w:tcPr>
          <w:p w14:paraId="456195F2">
            <w:pPr>
              <w:adjustRightInd w:val="0"/>
              <w:snapToGrid w:val="0"/>
              <w:ind w:firstLine="482"/>
              <w:rPr>
                <w:b/>
                <w:bCs/>
                <w:color w:val="auto"/>
                <w:kern w:val="0"/>
                <w:szCs w:val="24"/>
              </w:rPr>
            </w:pPr>
            <w:r>
              <w:rPr>
                <w:b/>
                <w:bCs/>
                <w:color w:val="auto"/>
                <w:kern w:val="0"/>
                <w:szCs w:val="24"/>
              </w:rPr>
              <w:t>（1）规划范围</w:t>
            </w:r>
          </w:p>
          <w:p w14:paraId="4BC24B91">
            <w:pPr>
              <w:pStyle w:val="6"/>
              <w:ind w:firstLine="480"/>
              <w:rPr>
                <w:b w:val="0"/>
                <w:bCs/>
                <w:color w:val="auto"/>
              </w:rPr>
            </w:pPr>
            <w:r>
              <w:rPr>
                <w:b w:val="0"/>
                <w:bCs/>
                <w:color w:val="auto"/>
              </w:rPr>
              <w:t>根据关于印发《江阴市镇（街）工业园区四至范围》的通知（澄工改办〔2022〕1号）：</w:t>
            </w:r>
          </w:p>
          <w:p w14:paraId="77D9CDAB">
            <w:pPr>
              <w:adjustRightInd w:val="0"/>
              <w:snapToGrid w:val="0"/>
              <w:ind w:firstLine="480"/>
              <w:rPr>
                <w:color w:val="auto"/>
                <w:kern w:val="0"/>
                <w:szCs w:val="24"/>
              </w:rPr>
            </w:pPr>
            <w:r>
              <w:rPr>
                <w:color w:val="auto"/>
                <w:kern w:val="0"/>
                <w:szCs w:val="24"/>
              </w:rPr>
              <w:t>重点工业园区：东至海港大道、锡澄运河、锡澄路，西至规划道路，南至规划道路、暨南大道，北至顾桐路、圣杨路。</w:t>
            </w:r>
          </w:p>
          <w:p w14:paraId="79B40AB6">
            <w:pPr>
              <w:adjustRightInd w:val="0"/>
              <w:snapToGrid w:val="0"/>
              <w:ind w:firstLine="480"/>
              <w:rPr>
                <w:color w:val="auto"/>
                <w:kern w:val="0"/>
                <w:szCs w:val="24"/>
              </w:rPr>
            </w:pPr>
            <w:r>
              <w:rPr>
                <w:color w:val="auto"/>
                <w:kern w:val="0"/>
                <w:szCs w:val="24"/>
              </w:rPr>
              <w:t>特色工业园区：东至悟空路，西至革新河，南至青霞路，北至顾桐路。</w:t>
            </w:r>
          </w:p>
          <w:p w14:paraId="0B0BD00C">
            <w:pPr>
              <w:adjustRightInd w:val="0"/>
              <w:snapToGrid w:val="0"/>
              <w:ind w:firstLine="480"/>
              <w:rPr>
                <w:color w:val="auto"/>
                <w:kern w:val="0"/>
                <w:szCs w:val="24"/>
              </w:rPr>
            </w:pPr>
            <w:r>
              <w:rPr>
                <w:color w:val="auto"/>
                <w:kern w:val="0"/>
                <w:szCs w:val="24"/>
              </w:rPr>
              <w:t>特色工业园区：霞客湾科学城内。</w:t>
            </w:r>
          </w:p>
          <w:p w14:paraId="5F390D70">
            <w:pPr>
              <w:adjustRightInd w:val="0"/>
              <w:snapToGrid w:val="0"/>
              <w:ind w:firstLine="480"/>
              <w:rPr>
                <w:color w:val="auto"/>
                <w:kern w:val="0"/>
                <w:szCs w:val="24"/>
              </w:rPr>
            </w:pPr>
            <w:r>
              <w:rPr>
                <w:color w:val="auto"/>
                <w:kern w:val="0"/>
                <w:szCs w:val="24"/>
              </w:rPr>
              <w:t>本项目位于江阴市青阳镇振阳路122号科创微城8号，租赁闲置厂房进行建设，对照工改后青阳镇工业园区示意图，其地块在重点工业园区范围内。</w:t>
            </w:r>
          </w:p>
          <w:p w14:paraId="2AC55A8E">
            <w:pPr>
              <w:adjustRightInd w:val="0"/>
              <w:snapToGrid w:val="0"/>
              <w:ind w:firstLine="482"/>
              <w:rPr>
                <w:b/>
                <w:bCs/>
                <w:color w:val="auto"/>
                <w:kern w:val="0"/>
                <w:szCs w:val="24"/>
              </w:rPr>
            </w:pPr>
            <w:r>
              <w:rPr>
                <w:b/>
                <w:bCs/>
                <w:color w:val="auto"/>
                <w:kern w:val="0"/>
                <w:szCs w:val="24"/>
              </w:rPr>
              <w:t>（2）产业定位及发展模式</w:t>
            </w:r>
          </w:p>
          <w:p w14:paraId="702FBD65">
            <w:pPr>
              <w:adjustRightInd w:val="0"/>
              <w:snapToGrid w:val="0"/>
              <w:ind w:firstLine="480"/>
              <w:rPr>
                <w:color w:val="auto"/>
                <w:kern w:val="0"/>
                <w:szCs w:val="24"/>
              </w:rPr>
            </w:pPr>
            <w:r>
              <w:rPr>
                <w:color w:val="auto"/>
                <w:kern w:val="0"/>
                <w:szCs w:val="24"/>
              </w:rPr>
              <w:t>高新区青阳园区主要承接霞客湾科学城的智能装备、节能环保、集成电路配套等产业化项目，加快引进培育新能源汽车及零部件产业。本项目产品为载带与料盘，为集成电路配套产业，符合高新区青阳园区产业定位。</w:t>
            </w:r>
          </w:p>
          <w:p w14:paraId="7281B44A">
            <w:pPr>
              <w:adjustRightInd w:val="0"/>
              <w:snapToGrid w:val="0"/>
              <w:ind w:firstLine="482"/>
              <w:rPr>
                <w:b/>
                <w:bCs/>
                <w:color w:val="auto"/>
              </w:rPr>
            </w:pPr>
            <w:r>
              <w:rPr>
                <w:b/>
                <w:bCs/>
                <w:color w:val="auto"/>
                <w:szCs w:val="24"/>
              </w:rPr>
              <w:t>（3）</w:t>
            </w:r>
            <w:r>
              <w:rPr>
                <w:b/>
                <w:bCs/>
                <w:color w:val="auto"/>
                <w:kern w:val="0"/>
              </w:rPr>
              <w:t>土地利用规划相符性</w:t>
            </w:r>
          </w:p>
          <w:p w14:paraId="74EE6A99">
            <w:pPr>
              <w:adjustRightInd w:val="0"/>
              <w:snapToGrid w:val="0"/>
              <w:ind w:firstLine="480"/>
              <w:rPr>
                <w:color w:val="auto"/>
                <w:szCs w:val="24"/>
              </w:rPr>
            </w:pPr>
            <w:r>
              <w:rPr>
                <w:color w:val="auto"/>
                <w:szCs w:val="24"/>
              </w:rPr>
              <w:t>根据本项目不动产权证（编号3203681788），项目建设地为工业用地。</w:t>
            </w:r>
          </w:p>
          <w:p w14:paraId="797C6930">
            <w:pPr>
              <w:adjustRightInd w:val="0"/>
              <w:snapToGrid w:val="0"/>
              <w:ind w:firstLine="480"/>
              <w:rPr>
                <w:color w:val="auto"/>
                <w:szCs w:val="24"/>
              </w:rPr>
            </w:pPr>
            <w:r>
              <w:rPr>
                <w:color w:val="auto"/>
                <w:szCs w:val="24"/>
              </w:rPr>
              <w:t>根据《江阴高新技术产业开发区青阳园区总体规划（2013~2030）环境影响报告书》（澄环发（2015）45号），高新区青阳园区范围为：东至锡澄运河、南侧与西侧至江阴市行政边界、北至常合高速公路，本项目属于高新区青阳园区范围内，项目建设地为二类工业用地，详见附图7，本项目</w:t>
            </w:r>
            <w:r>
              <w:rPr>
                <w:color w:val="auto"/>
                <w:kern w:val="0"/>
                <w:szCs w:val="24"/>
              </w:rPr>
              <w:t>从事载带、料盘制造，符合用地要求。</w:t>
            </w:r>
          </w:p>
          <w:p w14:paraId="34DC4F26">
            <w:pPr>
              <w:adjustRightInd w:val="0"/>
              <w:snapToGrid w:val="0"/>
              <w:ind w:firstLine="482"/>
              <w:rPr>
                <w:b/>
                <w:bCs/>
                <w:color w:val="auto"/>
                <w:kern w:val="0"/>
              </w:rPr>
            </w:pPr>
            <w:r>
              <w:rPr>
                <w:b/>
                <w:bCs/>
                <w:color w:val="auto"/>
                <w:kern w:val="0"/>
              </w:rPr>
              <w:t>（4）与规划环评相符性分析</w:t>
            </w:r>
          </w:p>
          <w:p w14:paraId="1473D5C6">
            <w:pPr>
              <w:pStyle w:val="16"/>
              <w:ind w:firstLine="480"/>
              <w:jc w:val="both"/>
              <w:rPr>
                <w:color w:val="auto"/>
                <w:sz w:val="24"/>
              </w:rPr>
            </w:pPr>
            <w:r>
              <w:rPr>
                <w:rFonts w:hint="eastAsia"/>
                <w:color w:val="auto"/>
                <w:sz w:val="24"/>
              </w:rPr>
              <w:t>对照《青阳镇工业园区开发建设规划（2023-2030）环境影响报告书》（征求意见稿）中提出的园区生态环境准入清单，本项目与其相符性分析如下：</w:t>
            </w:r>
          </w:p>
          <w:p w14:paraId="40FEE965">
            <w:pPr>
              <w:pStyle w:val="16"/>
              <w:ind w:firstLine="482"/>
              <w:jc w:val="both"/>
              <w:rPr>
                <w:b/>
                <w:bCs/>
                <w:color w:val="auto"/>
                <w:sz w:val="24"/>
              </w:rPr>
            </w:pPr>
            <w:r>
              <w:rPr>
                <w:b/>
                <w:bCs/>
                <w:color w:val="auto"/>
                <w:sz w:val="24"/>
              </w:rPr>
              <w:t>（5）环境保护规划相符性</w:t>
            </w:r>
          </w:p>
          <w:p w14:paraId="0E4CAE92">
            <w:pPr>
              <w:pStyle w:val="16"/>
              <w:adjustRightInd w:val="0"/>
              <w:ind w:firstLine="480"/>
              <w:jc w:val="both"/>
              <w:rPr>
                <w:color w:val="auto"/>
                <w:sz w:val="24"/>
              </w:rPr>
            </w:pPr>
            <w:r>
              <w:rPr>
                <w:color w:val="auto"/>
                <w:sz w:val="24"/>
              </w:rPr>
              <w:t>项目建设地污水管网已接通，本项目废水主要为生活污水，生活污水经化粪池处理后接管至江阴市城南污水处理有限公司集中处置，不新增废水排污口，故该项目的建设符合建设地环保规划。</w:t>
            </w:r>
          </w:p>
          <w:p w14:paraId="2ED1D994">
            <w:pPr>
              <w:pStyle w:val="16"/>
              <w:ind w:firstLine="482"/>
              <w:jc w:val="both"/>
              <w:rPr>
                <w:b/>
                <w:bCs/>
                <w:color w:val="auto"/>
                <w:sz w:val="24"/>
              </w:rPr>
            </w:pPr>
            <w:r>
              <w:rPr>
                <w:b/>
                <w:bCs/>
                <w:color w:val="auto"/>
                <w:sz w:val="24"/>
              </w:rPr>
              <w:t>（6）与江阴市三区三线规划相符性</w:t>
            </w:r>
          </w:p>
          <w:p w14:paraId="4394C1A1">
            <w:pPr>
              <w:pStyle w:val="16"/>
              <w:adjustRightInd w:val="0"/>
              <w:ind w:firstLine="480"/>
              <w:jc w:val="both"/>
              <w:rPr>
                <w:color w:val="auto"/>
                <w:sz w:val="24"/>
              </w:rPr>
            </w:pPr>
            <w:r>
              <w:rPr>
                <w:color w:val="auto"/>
                <w:sz w:val="24"/>
              </w:rPr>
              <w:t>“三区三线”是指城镇空间、农业空间、生态空间以及城镇开发边界红线、永久基本农田红线、生态保护红线。对照《江阴市国土空间总体规划》（2021-2035）的要求，项目位于城镇空间及城镇开发边界内，不在划定的农业空间、生态空间，耕地和永久基本农田、生态保护红线内，符合“三区三线”规划要求。</w:t>
            </w:r>
          </w:p>
        </w:tc>
      </w:tr>
      <w:tr w14:paraId="01667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5" w:type="pct"/>
            <w:vAlign w:val="center"/>
          </w:tcPr>
          <w:p w14:paraId="583448EF">
            <w:pPr>
              <w:pStyle w:val="42"/>
              <w:rPr>
                <w:color w:val="auto"/>
                <w:kern w:val="0"/>
              </w:rPr>
            </w:pPr>
            <w:r>
              <w:rPr>
                <w:color w:val="auto"/>
                <w:sz w:val="24"/>
                <w:szCs w:val="24"/>
              </w:rPr>
              <w:t>其他符合性分析</w:t>
            </w:r>
          </w:p>
        </w:tc>
        <w:tc>
          <w:tcPr>
            <w:tcW w:w="4444" w:type="pct"/>
            <w:gridSpan w:val="3"/>
            <w:tcBorders>
              <w:bottom w:val="single" w:color="auto" w:sz="4" w:space="0"/>
            </w:tcBorders>
            <w:vAlign w:val="center"/>
          </w:tcPr>
          <w:p w14:paraId="08F925B8">
            <w:pPr>
              <w:ind w:firstLine="480"/>
              <w:rPr>
                <w:color w:val="auto"/>
              </w:rPr>
            </w:pPr>
            <w:r>
              <w:rPr>
                <w:color w:val="auto"/>
              </w:rPr>
              <w:t>本项目与《省政府关于印发江苏省国家级生态保护红线规划的通知》（苏政发</w:t>
            </w:r>
            <w:r>
              <w:rPr>
                <w:rFonts w:hint="eastAsia"/>
                <w:color w:val="auto"/>
              </w:rPr>
              <w:t>〔</w:t>
            </w:r>
            <w:r>
              <w:rPr>
                <w:color w:val="auto"/>
              </w:rPr>
              <w:t>2018</w:t>
            </w:r>
            <w:r>
              <w:rPr>
                <w:rFonts w:hint="eastAsia"/>
                <w:color w:val="auto"/>
              </w:rPr>
              <w:t>〕</w:t>
            </w:r>
            <w:r>
              <w:rPr>
                <w:color w:val="auto"/>
              </w:rPr>
              <w:t>74号）、《江苏省人民政府关于印发江苏省生态空间管控区域规划的通知》（苏政发</w:t>
            </w:r>
            <w:r>
              <w:rPr>
                <w:rFonts w:hint="eastAsia"/>
                <w:color w:val="auto"/>
              </w:rPr>
              <w:t>〔</w:t>
            </w:r>
            <w:r>
              <w:rPr>
                <w:color w:val="auto"/>
              </w:rPr>
              <w:t>2020</w:t>
            </w:r>
            <w:r>
              <w:rPr>
                <w:rFonts w:hint="eastAsia"/>
                <w:color w:val="auto"/>
              </w:rPr>
              <w:t>〕</w:t>
            </w:r>
            <w:r>
              <w:rPr>
                <w:color w:val="auto"/>
              </w:rPr>
              <w:t>1号）、《江阴市生态空间管控区域调整方案》及《江苏省自然资源厅关于江阴市生态空间管控区域调整方案的复函》（苏自然资函</w:t>
            </w:r>
            <w:r>
              <w:rPr>
                <w:rFonts w:hint="eastAsia"/>
                <w:color w:val="auto"/>
              </w:rPr>
              <w:t>〔</w:t>
            </w:r>
            <w:r>
              <w:rPr>
                <w:color w:val="auto"/>
              </w:rPr>
              <w:t>2025</w:t>
            </w:r>
            <w:r>
              <w:rPr>
                <w:rFonts w:hint="eastAsia"/>
                <w:color w:val="auto"/>
              </w:rPr>
              <w:t>〕</w:t>
            </w:r>
            <w:r>
              <w:rPr>
                <w:color w:val="auto"/>
              </w:rPr>
              <w:t>164号）是相符的。</w:t>
            </w:r>
          </w:p>
          <w:p w14:paraId="5928C03C">
            <w:pPr>
              <w:ind w:firstLine="482"/>
              <w:rPr>
                <w:b/>
                <w:bCs/>
                <w:color w:val="auto"/>
              </w:rPr>
            </w:pPr>
            <w:r>
              <w:rPr>
                <w:b/>
                <w:bCs/>
                <w:color w:val="auto"/>
              </w:rPr>
              <w:t>（2）环境质量底线</w:t>
            </w:r>
          </w:p>
          <w:p w14:paraId="0B63A713">
            <w:pPr>
              <w:ind w:firstLine="480"/>
              <w:rPr>
                <w:color w:val="auto"/>
              </w:rPr>
            </w:pPr>
            <w:r>
              <w:rPr>
                <w:color w:val="auto"/>
              </w:rPr>
              <w:t>①大气环境</w:t>
            </w:r>
          </w:p>
          <w:p w14:paraId="090D3F40">
            <w:pPr>
              <w:ind w:firstLine="480"/>
              <w:rPr>
                <w:color w:val="auto"/>
              </w:rPr>
            </w:pPr>
            <w:r>
              <w:rPr>
                <w:color w:val="auto"/>
              </w:rPr>
              <w:t>根据《2024年度江阴市生态环境状况公报》，江阴市SO</w:t>
            </w:r>
            <w:r>
              <w:rPr>
                <w:color w:val="auto"/>
                <w:vertAlign w:val="subscript"/>
              </w:rPr>
              <w:t>2</w:t>
            </w:r>
            <w:r>
              <w:rPr>
                <w:color w:val="auto"/>
              </w:rPr>
              <w:t>、NO</w:t>
            </w:r>
            <w:r>
              <w:rPr>
                <w:color w:val="auto"/>
                <w:vertAlign w:val="subscript"/>
              </w:rPr>
              <w:t>2</w:t>
            </w:r>
            <w:r>
              <w:rPr>
                <w:color w:val="auto"/>
              </w:rPr>
              <w:t>、PM</w:t>
            </w:r>
            <w:r>
              <w:rPr>
                <w:color w:val="auto"/>
                <w:vertAlign w:val="subscript"/>
              </w:rPr>
              <w:t>10</w:t>
            </w:r>
            <w:r>
              <w:rPr>
                <w:color w:val="auto"/>
              </w:rPr>
              <w:t>、PM</w:t>
            </w:r>
            <w:r>
              <w:rPr>
                <w:color w:val="auto"/>
                <w:vertAlign w:val="subscript"/>
              </w:rPr>
              <w:t>2.5</w:t>
            </w:r>
            <w:r>
              <w:rPr>
                <w:color w:val="auto"/>
              </w:rPr>
              <w:t>、CO达标，O</w:t>
            </w:r>
            <w:r>
              <w:rPr>
                <w:color w:val="auto"/>
                <w:vertAlign w:val="subscript"/>
              </w:rPr>
              <w:t>3</w:t>
            </w:r>
            <w:r>
              <w:rPr>
                <w:color w:val="auto"/>
              </w:rPr>
              <w:t>超标，属于不达标区，根据《无锡市大气环境质量限期达标规划》分析内容，通过采取污染防治等措施后，无锡市环境空气质量预计2025年可实现全面达标。</w:t>
            </w:r>
          </w:p>
          <w:p w14:paraId="5C402854">
            <w:pPr>
              <w:ind w:firstLine="480"/>
              <w:rPr>
                <w:color w:val="auto"/>
              </w:rPr>
            </w:pPr>
            <w:r>
              <w:rPr>
                <w:color w:val="auto"/>
              </w:rPr>
              <w:t>2024年无锡市属于环境空气质量不达标区，为改善无锡市环境空气质量情况，无锡市市政府印发《无锡市大气环境质量限期达标规划（2018-2025）》，主要工作任务包括调整产</w:t>
            </w:r>
            <w:r>
              <w:rPr>
                <w:color w:val="auto"/>
                <w:szCs w:val="24"/>
              </w:rPr>
              <w:t>业结构、工业领域全行业全要素达标排放、调整能</w:t>
            </w:r>
            <w:r>
              <w:rPr>
                <w:color w:val="auto"/>
              </w:rPr>
              <w:t>源结构与控制煤炭消费总量、加强交通行业大气污染防治、推进农业污染防治、加强重污染天气应对等八大类100多项任务和19个重点工程，力争到2025年，全市PM</w:t>
            </w:r>
            <w:r>
              <w:rPr>
                <w:color w:val="auto"/>
                <w:vertAlign w:val="subscript"/>
              </w:rPr>
              <w:t>2.5</w:t>
            </w:r>
            <w:r>
              <w:rPr>
                <w:color w:val="auto"/>
              </w:rPr>
              <w:t>浓度达到35微克/立方米，臭氧浓度达到拐点，除臭氧以外的主要大气污染物浓度达到国家二级标准要求，空气质量优良天数比例达到80%。</w:t>
            </w:r>
          </w:p>
          <w:p w14:paraId="2458138E">
            <w:pPr>
              <w:ind w:firstLine="480"/>
              <w:rPr>
                <w:color w:val="auto"/>
              </w:rPr>
            </w:pPr>
            <w:r>
              <w:rPr>
                <w:color w:val="auto"/>
              </w:rPr>
              <w:t>②地表水环境</w:t>
            </w:r>
          </w:p>
          <w:p w14:paraId="61F2FDC9">
            <w:pPr>
              <w:ind w:firstLine="480"/>
              <w:rPr>
                <w:color w:val="auto"/>
              </w:rPr>
            </w:pPr>
            <w:r>
              <w:rPr>
                <w:color w:val="auto"/>
              </w:rPr>
              <w:t>本项目纳污河流为锡澄运河，根据《2024年度江阴市生态环境状况公报》，2024年，全市16条主要河流共设置地表水重点监测断面22个，其中Ⅱ类水质断面13个，Ⅲ类水质断面9个，无Ⅳ类、Ⅴ类和劣Ⅴ类水质断面。与2023年相比，总体水质变好，Ⅱ类断面比例上升4.6个百分点。16条重点河流中，长江、应天河、桃花港、石牌港、申港河、利港河、老夏港河、新夏港河、白屈港、锡澄运河、新沟河等11条河流水质状况为优；东横河、东清河、二干河、青祝运河、张家港河等5条河流水质状况为良好。与2023年相比，2024年全市16条重点河流中，白屈港、锡澄运河、新沟河、新夏港河水质由良好转为优；本项目纳污河流锡澄运河水质为优。</w:t>
            </w:r>
          </w:p>
          <w:p w14:paraId="41FEE1A2">
            <w:pPr>
              <w:ind w:firstLine="480"/>
              <w:rPr>
                <w:color w:val="auto"/>
              </w:rPr>
            </w:pPr>
            <w:r>
              <w:rPr>
                <w:color w:val="auto"/>
              </w:rPr>
              <w:t>③声环境</w:t>
            </w:r>
          </w:p>
          <w:p w14:paraId="6A22E6FB">
            <w:pPr>
              <w:ind w:firstLine="480"/>
              <w:rPr>
                <w:color w:val="auto"/>
              </w:rPr>
            </w:pPr>
            <w:r>
              <w:rPr>
                <w:color w:val="auto"/>
              </w:rPr>
              <w:t>根据《2024年度江阴市生态环境状况公报》，全市昼间、夜间声环境质量基本保持稳定，声环境质量总体较好。</w:t>
            </w:r>
          </w:p>
          <w:p w14:paraId="580410EF">
            <w:pPr>
              <w:ind w:firstLine="480"/>
              <w:rPr>
                <w:color w:val="auto"/>
              </w:rPr>
            </w:pPr>
            <w:r>
              <w:rPr>
                <w:color w:val="auto"/>
              </w:rPr>
              <w:t>因此，本项目建设符合环境质量底线的要求。</w:t>
            </w:r>
          </w:p>
          <w:p w14:paraId="2F0A944A">
            <w:pPr>
              <w:ind w:firstLine="482"/>
              <w:rPr>
                <w:b/>
                <w:bCs/>
                <w:color w:val="auto"/>
              </w:rPr>
            </w:pPr>
            <w:r>
              <w:rPr>
                <w:b/>
                <w:bCs/>
                <w:color w:val="auto"/>
              </w:rPr>
              <w:t>（3）资源利用上限</w:t>
            </w:r>
          </w:p>
          <w:p w14:paraId="43E7B133">
            <w:pPr>
              <w:ind w:firstLine="480"/>
              <w:rPr>
                <w:color w:val="auto"/>
              </w:rPr>
            </w:pPr>
            <w:r>
              <w:rPr>
                <w:color w:val="auto"/>
              </w:rPr>
              <w:t>本项目主要从事载带、料盘生产，主要原辅材料均在国内购买，本项目使用自来水975.936/a，用电量</w:t>
            </w:r>
            <w:r>
              <w:rPr>
                <w:rFonts w:hint="eastAsia"/>
                <w:color w:val="auto"/>
              </w:rPr>
              <w:t>260</w:t>
            </w:r>
            <w:r>
              <w:rPr>
                <w:color w:val="auto"/>
              </w:rPr>
              <w:t>万度/a。当地自来水厂、区域电网、热电厂可满足项目资源使用要求，本项目不会突破当地资源利用上限。</w:t>
            </w:r>
          </w:p>
          <w:p w14:paraId="2A85D4F5">
            <w:pPr>
              <w:ind w:firstLine="482"/>
              <w:rPr>
                <w:b/>
                <w:bCs/>
                <w:color w:val="auto"/>
              </w:rPr>
            </w:pPr>
            <w:r>
              <w:rPr>
                <w:b/>
                <w:bCs/>
                <w:color w:val="auto"/>
              </w:rPr>
              <w:t>（4）环境准入负面清单</w:t>
            </w:r>
          </w:p>
          <w:p w14:paraId="2FA07012">
            <w:pPr>
              <w:widowControl/>
              <w:adjustRightInd w:val="0"/>
              <w:snapToGrid w:val="0"/>
              <w:ind w:firstLine="480"/>
              <w:rPr>
                <w:color w:val="auto"/>
                <w:szCs w:val="24"/>
              </w:rPr>
            </w:pPr>
            <w:r>
              <w:rPr>
                <w:color w:val="auto"/>
                <w:szCs w:val="24"/>
              </w:rPr>
              <w:t>2、产业政策相符性分析</w:t>
            </w:r>
          </w:p>
          <w:p w14:paraId="38F83230">
            <w:pPr>
              <w:widowControl/>
              <w:adjustRightInd w:val="0"/>
              <w:snapToGrid w:val="0"/>
              <w:ind w:firstLine="480"/>
              <w:rPr>
                <w:color w:val="auto"/>
                <w:szCs w:val="24"/>
              </w:rPr>
            </w:pPr>
            <w:r>
              <w:rPr>
                <w:color w:val="auto"/>
                <w:szCs w:val="24"/>
              </w:rPr>
              <w:t>本项目主要从事载带、料盘的生产，对照《国民经济行业分类》（GB/T4754-2017），本项目属于C2929塑料零件及其他塑料制品制造。</w:t>
            </w:r>
          </w:p>
          <w:p w14:paraId="24AA3880">
            <w:pPr>
              <w:widowControl/>
              <w:adjustRightInd w:val="0"/>
              <w:snapToGrid w:val="0"/>
              <w:ind w:firstLine="480"/>
              <w:rPr>
                <w:color w:val="auto"/>
                <w:szCs w:val="24"/>
              </w:rPr>
            </w:pPr>
            <w:r>
              <w:rPr>
                <w:color w:val="auto"/>
                <w:szCs w:val="24"/>
              </w:rPr>
              <w:t>对照《产业结构调整指导目录（2024年本）》，本项目不属于其中的限制类、淘汰类项目。</w:t>
            </w:r>
          </w:p>
          <w:p w14:paraId="314650E8">
            <w:pPr>
              <w:widowControl/>
              <w:adjustRightInd w:val="0"/>
              <w:snapToGrid w:val="0"/>
              <w:ind w:firstLine="480"/>
              <w:rPr>
                <w:color w:val="auto"/>
                <w:szCs w:val="24"/>
              </w:rPr>
            </w:pPr>
            <w:r>
              <w:rPr>
                <w:color w:val="auto"/>
                <w:szCs w:val="24"/>
              </w:rPr>
              <w:t>对照《市场准入负面清单（2025年版）》，本项目不属于禁止准入类。</w:t>
            </w:r>
          </w:p>
          <w:p w14:paraId="719A95EA">
            <w:pPr>
              <w:widowControl/>
              <w:adjustRightInd w:val="0"/>
              <w:snapToGrid w:val="0"/>
              <w:ind w:firstLine="480"/>
              <w:rPr>
                <w:color w:val="auto"/>
                <w:szCs w:val="24"/>
                <w:highlight w:val="yellow"/>
              </w:rPr>
            </w:pPr>
            <w:r>
              <w:rPr>
                <w:color w:val="auto"/>
                <w:szCs w:val="24"/>
              </w:rPr>
              <w:t>且本项目已由江阴市青阳镇人民政府出具备案证（备案号：江阴青阳备〔2025〕123号）。</w:t>
            </w:r>
          </w:p>
          <w:p w14:paraId="527636B4">
            <w:pPr>
              <w:widowControl/>
              <w:adjustRightInd w:val="0"/>
              <w:snapToGrid w:val="0"/>
              <w:ind w:firstLine="480"/>
              <w:rPr>
                <w:color w:val="auto"/>
                <w:szCs w:val="24"/>
              </w:rPr>
            </w:pPr>
            <w:r>
              <w:rPr>
                <w:color w:val="auto"/>
                <w:szCs w:val="24"/>
              </w:rPr>
              <w:t>综上，本项目的建设符合国家和地方的产业政策。</w:t>
            </w:r>
          </w:p>
          <w:p w14:paraId="5BF5BBC1">
            <w:pPr>
              <w:pStyle w:val="3"/>
              <w:numPr>
                <w:ilvl w:val="0"/>
                <w:numId w:val="0"/>
              </w:numPr>
              <w:rPr>
                <w:bCs/>
                <w:snapToGrid w:val="0"/>
                <w:color w:val="auto"/>
                <w:szCs w:val="24"/>
              </w:rPr>
            </w:pPr>
          </w:p>
          <w:p w14:paraId="522784C6">
            <w:pPr>
              <w:pStyle w:val="3"/>
              <w:numPr>
                <w:ilvl w:val="0"/>
                <w:numId w:val="0"/>
              </w:numPr>
              <w:rPr>
                <w:bCs/>
                <w:snapToGrid w:val="0"/>
                <w:color w:val="auto"/>
                <w:szCs w:val="24"/>
              </w:rPr>
            </w:pPr>
          </w:p>
          <w:p w14:paraId="14944224">
            <w:pPr>
              <w:pStyle w:val="3"/>
              <w:numPr>
                <w:ilvl w:val="0"/>
                <w:numId w:val="0"/>
              </w:numPr>
              <w:rPr>
                <w:bCs/>
                <w:snapToGrid w:val="0"/>
                <w:color w:val="auto"/>
                <w:szCs w:val="24"/>
              </w:rPr>
            </w:pPr>
          </w:p>
          <w:p w14:paraId="09C494B7">
            <w:pPr>
              <w:pStyle w:val="3"/>
              <w:numPr>
                <w:ilvl w:val="0"/>
                <w:numId w:val="0"/>
              </w:numPr>
              <w:rPr>
                <w:bCs/>
                <w:snapToGrid w:val="0"/>
                <w:color w:val="auto"/>
                <w:szCs w:val="24"/>
              </w:rPr>
            </w:pPr>
          </w:p>
          <w:p w14:paraId="2048BBE1">
            <w:pPr>
              <w:pStyle w:val="3"/>
              <w:numPr>
                <w:ilvl w:val="0"/>
                <w:numId w:val="0"/>
              </w:numPr>
              <w:rPr>
                <w:bCs/>
                <w:snapToGrid w:val="0"/>
                <w:color w:val="auto"/>
                <w:szCs w:val="24"/>
              </w:rPr>
            </w:pPr>
          </w:p>
          <w:p w14:paraId="6919C354">
            <w:pPr>
              <w:pStyle w:val="3"/>
              <w:numPr>
                <w:ilvl w:val="0"/>
                <w:numId w:val="0"/>
              </w:numPr>
              <w:rPr>
                <w:bCs/>
                <w:snapToGrid w:val="0"/>
                <w:color w:val="auto"/>
                <w:szCs w:val="24"/>
              </w:rPr>
            </w:pPr>
          </w:p>
          <w:p w14:paraId="1424BFD4">
            <w:pPr>
              <w:pStyle w:val="3"/>
              <w:numPr>
                <w:ilvl w:val="0"/>
                <w:numId w:val="0"/>
              </w:numPr>
              <w:rPr>
                <w:bCs/>
                <w:snapToGrid w:val="0"/>
                <w:color w:val="auto"/>
                <w:szCs w:val="24"/>
              </w:rPr>
            </w:pPr>
          </w:p>
          <w:p w14:paraId="46982648">
            <w:pPr>
              <w:pStyle w:val="3"/>
              <w:numPr>
                <w:ilvl w:val="0"/>
                <w:numId w:val="0"/>
              </w:numPr>
              <w:rPr>
                <w:bCs/>
                <w:snapToGrid w:val="0"/>
                <w:color w:val="auto"/>
                <w:szCs w:val="24"/>
              </w:rPr>
            </w:pPr>
          </w:p>
          <w:p w14:paraId="4D433CBB">
            <w:pPr>
              <w:pStyle w:val="3"/>
              <w:numPr>
                <w:ilvl w:val="0"/>
                <w:numId w:val="0"/>
              </w:numPr>
              <w:rPr>
                <w:bCs/>
                <w:snapToGrid w:val="0"/>
                <w:color w:val="auto"/>
                <w:szCs w:val="24"/>
              </w:rPr>
            </w:pPr>
          </w:p>
          <w:p w14:paraId="51288C3B">
            <w:pPr>
              <w:pStyle w:val="3"/>
              <w:numPr>
                <w:ilvl w:val="0"/>
                <w:numId w:val="0"/>
              </w:numPr>
              <w:rPr>
                <w:bCs/>
                <w:snapToGrid w:val="0"/>
                <w:color w:val="auto"/>
                <w:szCs w:val="24"/>
              </w:rPr>
            </w:pPr>
          </w:p>
          <w:p w14:paraId="4DC5F577">
            <w:pPr>
              <w:pStyle w:val="3"/>
              <w:numPr>
                <w:ilvl w:val="0"/>
                <w:numId w:val="0"/>
              </w:numPr>
              <w:rPr>
                <w:bCs/>
                <w:snapToGrid w:val="0"/>
                <w:color w:val="auto"/>
                <w:szCs w:val="24"/>
              </w:rPr>
            </w:pPr>
          </w:p>
          <w:p w14:paraId="157B4AFC">
            <w:pPr>
              <w:pStyle w:val="3"/>
              <w:numPr>
                <w:ilvl w:val="0"/>
                <w:numId w:val="0"/>
              </w:numPr>
              <w:rPr>
                <w:bCs/>
                <w:snapToGrid w:val="0"/>
                <w:color w:val="auto"/>
                <w:szCs w:val="24"/>
              </w:rPr>
            </w:pPr>
          </w:p>
          <w:p w14:paraId="787442D6">
            <w:pPr>
              <w:pStyle w:val="3"/>
              <w:numPr>
                <w:ilvl w:val="0"/>
                <w:numId w:val="0"/>
              </w:numPr>
              <w:rPr>
                <w:bCs/>
                <w:snapToGrid w:val="0"/>
                <w:color w:val="auto"/>
                <w:szCs w:val="24"/>
              </w:rPr>
            </w:pPr>
          </w:p>
          <w:p w14:paraId="2FFB1828">
            <w:pPr>
              <w:pStyle w:val="3"/>
              <w:numPr>
                <w:ilvl w:val="0"/>
                <w:numId w:val="0"/>
              </w:numPr>
              <w:rPr>
                <w:bCs/>
                <w:snapToGrid w:val="0"/>
                <w:color w:val="auto"/>
                <w:szCs w:val="24"/>
              </w:rPr>
            </w:pPr>
          </w:p>
          <w:p w14:paraId="5845617B">
            <w:pPr>
              <w:pStyle w:val="3"/>
              <w:numPr>
                <w:ilvl w:val="0"/>
                <w:numId w:val="0"/>
              </w:numPr>
              <w:rPr>
                <w:bCs/>
                <w:snapToGrid w:val="0"/>
                <w:color w:val="auto"/>
                <w:szCs w:val="24"/>
              </w:rPr>
            </w:pPr>
          </w:p>
          <w:p w14:paraId="75B1AC33">
            <w:pPr>
              <w:pStyle w:val="3"/>
              <w:numPr>
                <w:ilvl w:val="0"/>
                <w:numId w:val="0"/>
              </w:numPr>
              <w:rPr>
                <w:bCs/>
                <w:snapToGrid w:val="0"/>
                <w:color w:val="auto"/>
                <w:szCs w:val="24"/>
              </w:rPr>
            </w:pPr>
          </w:p>
          <w:p w14:paraId="7494354E">
            <w:pPr>
              <w:pStyle w:val="3"/>
              <w:numPr>
                <w:ilvl w:val="0"/>
                <w:numId w:val="0"/>
              </w:numPr>
              <w:rPr>
                <w:bCs/>
                <w:snapToGrid w:val="0"/>
                <w:color w:val="auto"/>
                <w:szCs w:val="24"/>
              </w:rPr>
            </w:pPr>
          </w:p>
          <w:p w14:paraId="267E3ADD">
            <w:pPr>
              <w:pStyle w:val="3"/>
              <w:numPr>
                <w:ilvl w:val="0"/>
                <w:numId w:val="0"/>
              </w:numPr>
              <w:rPr>
                <w:bCs/>
                <w:snapToGrid w:val="0"/>
                <w:color w:val="auto"/>
                <w:szCs w:val="24"/>
              </w:rPr>
            </w:pPr>
          </w:p>
          <w:p w14:paraId="72147DE9">
            <w:pPr>
              <w:pStyle w:val="3"/>
              <w:numPr>
                <w:ilvl w:val="0"/>
                <w:numId w:val="0"/>
              </w:numPr>
              <w:rPr>
                <w:bCs/>
                <w:snapToGrid w:val="0"/>
                <w:color w:val="auto"/>
                <w:szCs w:val="24"/>
              </w:rPr>
            </w:pPr>
          </w:p>
          <w:p w14:paraId="619F284B">
            <w:pPr>
              <w:pStyle w:val="3"/>
              <w:numPr>
                <w:ilvl w:val="0"/>
                <w:numId w:val="0"/>
              </w:numPr>
              <w:rPr>
                <w:bCs/>
                <w:snapToGrid w:val="0"/>
                <w:color w:val="auto"/>
                <w:szCs w:val="24"/>
              </w:rPr>
            </w:pPr>
          </w:p>
          <w:p w14:paraId="40910943">
            <w:pPr>
              <w:pStyle w:val="3"/>
              <w:numPr>
                <w:ilvl w:val="0"/>
                <w:numId w:val="0"/>
              </w:numPr>
              <w:rPr>
                <w:bCs/>
                <w:snapToGrid w:val="0"/>
                <w:color w:val="auto"/>
                <w:szCs w:val="24"/>
              </w:rPr>
            </w:pPr>
          </w:p>
        </w:tc>
      </w:tr>
    </w:tbl>
    <w:p w14:paraId="2A7BAE30">
      <w:pPr>
        <w:ind w:firstLine="480"/>
        <w:jc w:val="center"/>
        <w:rPr>
          <w:color w:val="auto"/>
        </w:rPr>
        <w:sectPr>
          <w:footerReference r:id="rId7" w:type="default"/>
          <w:pgSz w:w="11906" w:h="16838"/>
          <w:pgMar w:top="1440" w:right="1800" w:bottom="1440" w:left="1800" w:header="851" w:footer="992" w:gutter="0"/>
          <w:pgNumType w:start="1"/>
          <w:cols w:space="720" w:num="1"/>
          <w:docGrid w:type="lines" w:linePitch="312" w:charSpace="0"/>
        </w:sectPr>
      </w:pPr>
    </w:p>
    <w:p w14:paraId="2D530C96">
      <w:pPr>
        <w:pStyle w:val="21"/>
        <w:spacing w:line="240" w:lineRule="auto"/>
        <w:ind w:firstLine="0" w:firstLineChars="0"/>
        <w:jc w:val="center"/>
        <w:outlineLvl w:val="0"/>
        <w:rPr>
          <w:rFonts w:ascii="Times New Roman" w:hAnsi="Times New Roman"/>
          <w:snapToGrid w:val="0"/>
          <w:color w:val="auto"/>
          <w:kern w:val="0"/>
          <w:sz w:val="30"/>
          <w:szCs w:val="30"/>
        </w:rPr>
      </w:pPr>
      <w:r>
        <w:rPr>
          <w:rFonts w:ascii="Times New Roman" w:hAnsi="Times New Roman"/>
          <w:snapToGrid w:val="0"/>
          <w:color w:val="auto"/>
          <w:kern w:val="0"/>
          <w:sz w:val="30"/>
          <w:szCs w:val="30"/>
        </w:rPr>
        <w:t>二、建设项目工程分析</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8073"/>
      </w:tblGrid>
      <w:tr w14:paraId="6E466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8" w:hRule="atLeast"/>
          <w:jc w:val="center"/>
        </w:trPr>
        <w:tc>
          <w:tcPr>
            <w:tcW w:w="399" w:type="pct"/>
            <w:vAlign w:val="center"/>
          </w:tcPr>
          <w:p w14:paraId="66169D5F">
            <w:pPr>
              <w:pStyle w:val="42"/>
              <w:rPr>
                <w:color w:val="auto"/>
              </w:rPr>
            </w:pPr>
            <w:r>
              <w:rPr>
                <w:color w:val="auto"/>
                <w:sz w:val="24"/>
                <w:szCs w:val="24"/>
              </w:rPr>
              <w:t>建设内容</w:t>
            </w:r>
          </w:p>
        </w:tc>
        <w:tc>
          <w:tcPr>
            <w:tcW w:w="4600" w:type="pct"/>
          </w:tcPr>
          <w:p w14:paraId="0CA03F46">
            <w:pPr>
              <w:adjustRightInd w:val="0"/>
              <w:snapToGrid w:val="0"/>
              <w:ind w:firstLine="482"/>
              <w:jc w:val="left"/>
              <w:rPr>
                <w:b/>
                <w:bCs/>
                <w:color w:val="auto"/>
                <w:szCs w:val="24"/>
              </w:rPr>
            </w:pPr>
            <w:r>
              <w:rPr>
                <w:b/>
                <w:bCs/>
                <w:color w:val="auto"/>
                <w:szCs w:val="24"/>
              </w:rPr>
              <w:t>1、项目概况</w:t>
            </w:r>
          </w:p>
          <w:p w14:paraId="7AA81A45">
            <w:pPr>
              <w:adjustRightInd w:val="0"/>
              <w:snapToGrid w:val="0"/>
              <w:ind w:firstLine="480"/>
              <w:rPr>
                <w:color w:val="auto"/>
                <w:szCs w:val="24"/>
              </w:rPr>
            </w:pPr>
            <w:r>
              <w:rPr>
                <w:color w:val="auto"/>
                <w:szCs w:val="24"/>
              </w:rPr>
              <w:t>无锡载创电子科技有限公司成立于2025年3月7日，法定代表人为朱菊芬，企业地址位于江阴市青阳镇振阳路122号科创微城8号，经营范围包含：电子元器件制造：半导体器件专用设备制造，电子专用材料制造：包装专用设备制造：电子元器件与机电组件设备制造，模具制造：仪器仪表制造，技术服务、技术开发、技术咨询、技术交流、技术转让，技术推广，电子元器件批发；电子元器件零售：电子产品销售：包装专用设备销售电子元器件与机电组件设备销售：模具销售：金属制品销售，仪器仪表销售：进出口代理：销售代理，货物进出口（除依法须经批准的项自外，凭营业执照依法自主开展经营活动)。</w:t>
            </w:r>
          </w:p>
          <w:p w14:paraId="1E04D1F6">
            <w:pPr>
              <w:adjustRightInd w:val="0"/>
              <w:snapToGrid w:val="0"/>
              <w:ind w:firstLine="480"/>
              <w:rPr>
                <w:color w:val="auto"/>
                <w:szCs w:val="24"/>
              </w:rPr>
            </w:pPr>
            <w:r>
              <w:rPr>
                <w:color w:val="auto"/>
                <w:szCs w:val="24"/>
              </w:rPr>
              <w:t>为了满足市场需求，该企业拟租赁江阴桐新建设发展有限公司位于江阴市青阳镇振阳路122号科创微城8号1752.4平方米（2层，单层面积876.2m</w:t>
            </w:r>
            <w:r>
              <w:rPr>
                <w:color w:val="auto"/>
                <w:szCs w:val="24"/>
                <w:vertAlign w:val="superscript"/>
              </w:rPr>
              <w:t>2</w:t>
            </w:r>
            <w:r>
              <w:rPr>
                <w:color w:val="auto"/>
                <w:szCs w:val="24"/>
              </w:rPr>
              <w:t>）闲置的厂房，租赁厂房面积1752.4平方米，购置注塑机、高速粒子机、滚轮机等共计56台套设备，主要从事载带及料盘的生产，项目实施后，生产能力为料盘740t/a、载带730t/a。该种载带及料盘属于电子包装材料的一种，是专为电子产品殊塑料片材，主要用于电子行业封装过程，可保护电子元件在后续运输、保存、生产过程中不受静电损害。</w:t>
            </w:r>
          </w:p>
          <w:p w14:paraId="39F79ED0">
            <w:pPr>
              <w:pStyle w:val="11"/>
              <w:adjustRightInd w:val="0"/>
              <w:snapToGrid w:val="0"/>
              <w:ind w:firstLine="480"/>
              <w:jc w:val="both"/>
              <w:rPr>
                <w:color w:val="auto"/>
                <w:szCs w:val="24"/>
              </w:rPr>
            </w:pPr>
            <w:r>
              <w:rPr>
                <w:color w:val="auto"/>
                <w:szCs w:val="24"/>
              </w:rPr>
              <w:t>根据《建设项目环境影响评价分类管理名录（2021年版）》（生态环境部令第16号），本项目属于“二十六、橡胶和塑料制品业29”中“53塑料制造业292”中“其他”，应编制环境影响报告表。建设单位无锡载创电子科技有限公司委托</w:t>
            </w:r>
            <w:r>
              <w:rPr>
                <w:bCs/>
                <w:color w:val="auto"/>
              </w:rPr>
              <w:t>南京师大环境科技研究院有限公司</w:t>
            </w:r>
            <w:r>
              <w:rPr>
                <w:color w:val="auto"/>
                <w:szCs w:val="24"/>
              </w:rPr>
              <w:t>开展该项目环境影响评价工作。我公司接受委托后，环评工作组进行了实地踏勘和资料收集，在工程分析的基础上编制了本报告。</w:t>
            </w:r>
            <w:r>
              <w:rPr>
                <w:color w:val="auto"/>
              </w:rPr>
              <w:t>本项目所涉及的消防、安全和卫生问题不属于本评价范围，请公司按照国家有关法律、法规和相关标准执行。</w:t>
            </w:r>
          </w:p>
          <w:p w14:paraId="6B94603C">
            <w:pPr>
              <w:adjustRightInd w:val="0"/>
              <w:snapToGrid w:val="0"/>
              <w:ind w:firstLine="482"/>
              <w:rPr>
                <w:b/>
                <w:bCs/>
                <w:color w:val="auto"/>
                <w:kern w:val="0"/>
                <w:szCs w:val="24"/>
              </w:rPr>
            </w:pPr>
            <w:r>
              <w:rPr>
                <w:b/>
                <w:bCs/>
                <w:color w:val="auto"/>
                <w:szCs w:val="24"/>
              </w:rPr>
              <w:t>2、</w:t>
            </w:r>
            <w:r>
              <w:rPr>
                <w:b/>
                <w:bCs/>
                <w:color w:val="auto"/>
                <w:kern w:val="0"/>
                <w:szCs w:val="24"/>
              </w:rPr>
              <w:t>工程内容及建设规模</w:t>
            </w:r>
          </w:p>
          <w:p w14:paraId="6D15DDF2">
            <w:pPr>
              <w:adjustRightInd w:val="0"/>
              <w:snapToGrid w:val="0"/>
              <w:spacing w:before="156" w:beforeLines="50"/>
              <w:ind w:firstLine="422"/>
              <w:rPr>
                <w:b/>
                <w:bCs/>
                <w:color w:val="auto"/>
                <w:sz w:val="21"/>
              </w:rPr>
            </w:pPr>
            <w:r>
              <w:rPr>
                <w:color w:val="auto"/>
                <w:kern w:val="0"/>
                <w:szCs w:val="24"/>
              </w:rPr>
              <w:t>本项目租赁厂房进行加工生产，工程内容主要为厂房内部布局调整、新增设备购买、安装和调试等环节，公用、辅助工程和环保工程配套设施完善等。</w:t>
            </w:r>
          </w:p>
          <w:p w14:paraId="74C9F158">
            <w:pPr>
              <w:adjustRightInd w:val="0"/>
              <w:snapToGrid w:val="0"/>
              <w:spacing w:before="156" w:beforeLines="50"/>
              <w:ind w:firstLine="482"/>
              <w:rPr>
                <w:color w:val="auto"/>
                <w:szCs w:val="24"/>
              </w:rPr>
            </w:pPr>
            <w:r>
              <w:rPr>
                <w:b/>
                <w:bCs/>
                <w:color w:val="auto"/>
                <w:szCs w:val="24"/>
              </w:rPr>
              <w:t>5、建设项目厂区平面布置情况</w:t>
            </w:r>
          </w:p>
          <w:p w14:paraId="023CA1D4">
            <w:pPr>
              <w:adjustRightInd w:val="0"/>
              <w:snapToGrid w:val="0"/>
              <w:ind w:firstLine="480"/>
              <w:rPr>
                <w:color w:val="auto"/>
                <w:kern w:val="0"/>
                <w:szCs w:val="24"/>
              </w:rPr>
            </w:pPr>
            <w:r>
              <w:rPr>
                <w:color w:val="auto"/>
                <w:kern w:val="0"/>
                <w:szCs w:val="24"/>
              </w:rPr>
              <w:t>地理位置：江阴市青阳镇振阳路122号科创微城8号，具体地理位置见附图1。</w:t>
            </w:r>
          </w:p>
          <w:p w14:paraId="6B18E202">
            <w:pPr>
              <w:adjustRightInd w:val="0"/>
              <w:snapToGrid w:val="0"/>
              <w:ind w:firstLine="480"/>
              <w:rPr>
                <w:color w:val="auto"/>
                <w:kern w:val="0"/>
                <w:szCs w:val="24"/>
              </w:rPr>
            </w:pPr>
            <w:r>
              <w:rPr>
                <w:color w:val="auto"/>
                <w:kern w:val="0"/>
                <w:szCs w:val="24"/>
              </w:rPr>
              <w:t>厂区平面布置：本项目租赁江阴桐新建设发展有限公司厂房1752.4平方米进行建设，按照生产特点及工艺需求，本项目厂区设置注塑车间、分切车间、冲孔车间、原料成品仓库等。建设项目厂区平面布置具体见附图3。</w:t>
            </w:r>
          </w:p>
          <w:p w14:paraId="34A35613">
            <w:pPr>
              <w:adjustRightInd w:val="0"/>
              <w:snapToGrid w:val="0"/>
              <w:ind w:firstLine="480"/>
              <w:rPr>
                <w:color w:val="auto"/>
                <w:kern w:val="0"/>
                <w:szCs w:val="24"/>
              </w:rPr>
            </w:pPr>
            <w:r>
              <w:rPr>
                <w:color w:val="auto"/>
                <w:kern w:val="0"/>
                <w:szCs w:val="24"/>
              </w:rPr>
              <w:t>建设项目厂界周围500米土地利用现状：项目位于江苏省无锡市江阴市青阳镇振阳路122号科创微城8号，根据现场勘查，厂界东侧隔泗河口路为空地，南侧隔青桐大道为空地，西侧为园区内闲置空厂房，北侧为园区内闲置空厂房。本项目周边500m范围内无环境敏感目标，建设项目厂界周围500米内土地利用现状见附图2。</w:t>
            </w:r>
          </w:p>
          <w:p w14:paraId="7929DE4E">
            <w:pPr>
              <w:adjustRightInd w:val="0"/>
              <w:snapToGrid w:val="0"/>
              <w:ind w:firstLine="482"/>
              <w:rPr>
                <w:b/>
                <w:bCs/>
                <w:color w:val="auto"/>
                <w:szCs w:val="24"/>
              </w:rPr>
            </w:pPr>
            <w:r>
              <w:rPr>
                <w:b/>
                <w:bCs/>
                <w:color w:val="auto"/>
                <w:szCs w:val="24"/>
              </w:rPr>
              <w:t>6、劳动定员及工作制度</w:t>
            </w:r>
          </w:p>
          <w:p w14:paraId="56425A82">
            <w:pPr>
              <w:adjustRightInd w:val="0"/>
              <w:snapToGrid w:val="0"/>
              <w:ind w:firstLine="480"/>
              <w:rPr>
                <w:color w:val="auto"/>
                <w:szCs w:val="24"/>
              </w:rPr>
            </w:pPr>
            <w:r>
              <w:rPr>
                <w:color w:val="auto"/>
                <w:szCs w:val="24"/>
              </w:rPr>
              <w:t>劳动定员：新增劳动定员40人。</w:t>
            </w:r>
          </w:p>
          <w:p w14:paraId="4A9716F3">
            <w:pPr>
              <w:adjustRightInd w:val="0"/>
              <w:snapToGrid w:val="0"/>
              <w:ind w:firstLine="480"/>
              <w:rPr>
                <w:color w:val="auto"/>
                <w:szCs w:val="24"/>
              </w:rPr>
            </w:pPr>
            <w:r>
              <w:rPr>
                <w:color w:val="auto"/>
                <w:szCs w:val="24"/>
              </w:rPr>
              <w:t>工作制度：实行工作制度为两班12小时制，年工作312天。</w:t>
            </w:r>
          </w:p>
          <w:p w14:paraId="21584D6F">
            <w:pPr>
              <w:adjustRightInd w:val="0"/>
              <w:snapToGrid w:val="0"/>
              <w:ind w:firstLine="482"/>
              <w:rPr>
                <w:b/>
                <w:bCs/>
                <w:color w:val="auto"/>
                <w:szCs w:val="24"/>
              </w:rPr>
            </w:pPr>
            <w:r>
              <w:rPr>
                <w:b/>
                <w:bCs/>
                <w:color w:val="auto"/>
                <w:szCs w:val="24"/>
              </w:rPr>
              <w:t>7、水平衡</w:t>
            </w:r>
          </w:p>
          <w:p w14:paraId="539F570B">
            <w:pPr>
              <w:pStyle w:val="11"/>
              <w:adjustRightInd w:val="0"/>
              <w:snapToGrid w:val="0"/>
              <w:ind w:firstLine="480"/>
              <w:rPr>
                <w:bCs/>
                <w:color w:val="auto"/>
                <w:kern w:val="2"/>
                <w:szCs w:val="24"/>
              </w:rPr>
            </w:pPr>
            <w:r>
              <w:rPr>
                <w:bCs/>
                <w:color w:val="auto"/>
                <w:szCs w:val="24"/>
              </w:rPr>
              <w:t>本项目用水主要为职工生活用水、循环冷却用水，均采用自来水。用水基准如下：</w:t>
            </w:r>
          </w:p>
          <w:p w14:paraId="2FF50F88">
            <w:pPr>
              <w:widowControl w:val="0"/>
              <w:adjustRightInd w:val="0"/>
              <w:snapToGrid w:val="0"/>
              <w:spacing w:line="360" w:lineRule="auto"/>
              <w:ind w:firstLine="480" w:firstLineChars="200"/>
              <w:jc w:val="both"/>
              <w:rPr>
                <w:rFonts w:ascii="Times New Roman" w:hAnsi="Times New Roman" w:eastAsia="宋体" w:cs="Times New Roman"/>
                <w:bCs/>
                <w:color w:val="auto"/>
                <w:kern w:val="2"/>
                <w:sz w:val="24"/>
                <w:szCs w:val="24"/>
                <w:lang w:val="en-US" w:eastAsia="zh-CN" w:bidi="ar-SA"/>
              </w:rPr>
            </w:pPr>
            <w:r>
              <w:rPr>
                <w:rFonts w:ascii="Times New Roman" w:hAnsi="Times New Roman" w:eastAsia="宋体" w:cs="Times New Roman"/>
                <w:bCs/>
                <w:color w:val="auto"/>
                <w:kern w:val="2"/>
                <w:sz w:val="24"/>
                <w:szCs w:val="24"/>
                <w:lang w:val="en-US" w:eastAsia="zh-CN" w:bidi="ar-SA"/>
              </w:rPr>
              <w:t>职工生活用水：根据《建筑给水排水设计标准》（GB50015-2019），生活用水定额采用50L/（人·班），本项目劳动定员40人，年有效工作日312天计，则生活用水量为624t/a（1t/d），损耗以20%计，则生活污水排放量为499.2t/a（1.6t/d）。本项目生活污水经化粪池预处理后通过污水管网接入江阴市城南污水处理有限公司集中处理，达标后排入锡澄运河。</w:t>
            </w:r>
          </w:p>
          <w:p w14:paraId="2054FB0A">
            <w:pPr>
              <w:widowControl w:val="0"/>
              <w:adjustRightInd w:val="0"/>
              <w:snapToGrid w:val="0"/>
              <w:spacing w:line="360" w:lineRule="auto"/>
              <w:ind w:firstLine="480" w:firstLineChars="200"/>
              <w:jc w:val="both"/>
              <w:rPr>
                <w:color w:val="auto"/>
              </w:rPr>
            </w:pPr>
            <w:r>
              <w:rPr>
                <w:rFonts w:ascii="Times New Roman" w:hAnsi="Times New Roman" w:eastAsia="宋体" w:cs="Times New Roman"/>
                <w:bCs/>
                <w:color w:val="auto"/>
                <w:kern w:val="2"/>
                <w:sz w:val="24"/>
                <w:szCs w:val="24"/>
                <w:lang w:val="en-US" w:eastAsia="zh-CN" w:bidi="ar-SA"/>
              </w:rPr>
              <w:t>循环冷却水：根据建设单位提供资料，本项目有47台冷水机，每台冷水机循环量</w:t>
            </w:r>
            <w:r>
              <w:rPr>
                <w:rFonts w:hint="eastAsia" w:ascii="Times New Roman" w:hAnsi="Times New Roman" w:eastAsia="宋体" w:cs="Times New Roman"/>
                <w:bCs/>
                <w:color w:val="auto"/>
                <w:kern w:val="2"/>
                <w:sz w:val="24"/>
                <w:szCs w:val="24"/>
                <w:lang w:val="en-US" w:eastAsia="zh-CN" w:bidi="ar-SA"/>
              </w:rPr>
              <w:t>约</w:t>
            </w:r>
            <w:r>
              <w:rPr>
                <w:rFonts w:ascii="Times New Roman" w:hAnsi="Times New Roman" w:eastAsia="宋体" w:cs="Times New Roman"/>
                <w:bCs/>
                <w:color w:val="auto"/>
                <w:kern w:val="2"/>
                <w:sz w:val="24"/>
                <w:szCs w:val="24"/>
                <w:lang w:val="en-US" w:eastAsia="zh-CN" w:bidi="ar-SA"/>
              </w:rPr>
              <w:t>为1t/h，总循环量为47t/h，日运行时间为24小时，则循环水量为1128t/d（351936t/a），</w:t>
            </w:r>
            <w:r>
              <w:rPr>
                <w:rFonts w:hint="eastAsia" w:ascii="Times New Roman" w:hAnsi="Times New Roman" w:eastAsia="宋体" w:cs="Times New Roman"/>
                <w:bCs/>
                <w:color w:val="auto"/>
                <w:kern w:val="2"/>
                <w:sz w:val="24"/>
                <w:szCs w:val="24"/>
                <w:lang w:val="en-US" w:eastAsia="zh-CN" w:bidi="ar-SA"/>
              </w:rPr>
              <w:t>本项目采用密闭式循环冷水机</w:t>
            </w:r>
            <w:r>
              <w:rPr>
                <w:rStyle w:val="35"/>
                <w:rFonts w:hint="eastAsia" w:ascii="Times New Roman" w:hAnsi="Times New Roman" w:eastAsia="宋体" w:cs="Times New Roman"/>
                <w:color w:val="auto"/>
                <w:kern w:val="2"/>
                <w:lang w:val="en-US" w:eastAsia="zh-CN" w:bidi="ar-SA"/>
              </w:rPr>
              <w:t>，</w:t>
            </w:r>
            <w:r>
              <w:rPr>
                <w:rFonts w:hint="eastAsia" w:ascii="Times New Roman" w:hAnsi="Times New Roman" w:eastAsia="宋体" w:cs="Times New Roman"/>
                <w:bCs/>
                <w:color w:val="auto"/>
                <w:kern w:val="2"/>
                <w:sz w:val="24"/>
                <w:szCs w:val="24"/>
                <w:lang w:val="en-US" w:eastAsia="zh-CN" w:bidi="ar-SA"/>
              </w:rPr>
              <w:t>该密闭式循环系统在正常运行下，水量损耗途径极少，</w:t>
            </w:r>
            <w:r>
              <w:rPr>
                <w:rFonts w:ascii="Times New Roman" w:hAnsi="Times New Roman" w:eastAsia="宋体" w:cs="Times New Roman"/>
                <w:bCs/>
                <w:color w:val="auto"/>
                <w:kern w:val="2"/>
                <w:sz w:val="24"/>
                <w:szCs w:val="24"/>
                <w:lang w:val="en-US" w:eastAsia="zh-CN" w:bidi="ar-SA"/>
              </w:rPr>
              <w:t>补充量按循环量的</w:t>
            </w:r>
            <w:r>
              <w:rPr>
                <w:rFonts w:hint="eastAsia" w:ascii="Times New Roman" w:hAnsi="Times New Roman" w:eastAsia="宋体" w:cs="Times New Roman"/>
                <w:bCs/>
                <w:color w:val="auto"/>
                <w:kern w:val="2"/>
                <w:sz w:val="24"/>
                <w:szCs w:val="24"/>
                <w:lang w:val="en-US" w:eastAsia="zh-CN" w:bidi="ar-SA"/>
              </w:rPr>
              <w:t>0.1</w:t>
            </w:r>
            <w:r>
              <w:rPr>
                <w:rFonts w:ascii="Times New Roman" w:hAnsi="Times New Roman" w:eastAsia="宋体" w:cs="Times New Roman"/>
                <w:bCs/>
                <w:color w:val="auto"/>
                <w:kern w:val="2"/>
                <w:sz w:val="24"/>
                <w:szCs w:val="24"/>
                <w:lang w:val="en-US" w:eastAsia="zh-CN" w:bidi="ar-SA"/>
              </w:rPr>
              <w:t>%计，则补充量为</w:t>
            </w:r>
            <w:r>
              <w:rPr>
                <w:rFonts w:hint="eastAsia" w:ascii="Times New Roman" w:hAnsi="Times New Roman" w:eastAsia="宋体" w:cs="Times New Roman"/>
                <w:bCs/>
                <w:color w:val="auto"/>
                <w:kern w:val="2"/>
                <w:sz w:val="24"/>
                <w:szCs w:val="24"/>
                <w:lang w:val="en-US" w:eastAsia="zh-CN" w:bidi="ar-SA"/>
              </w:rPr>
              <w:t>1.128t</w:t>
            </w:r>
            <w:r>
              <w:rPr>
                <w:rFonts w:ascii="Times New Roman" w:hAnsi="Times New Roman" w:eastAsia="宋体" w:cs="Times New Roman"/>
                <w:bCs/>
                <w:color w:val="auto"/>
                <w:kern w:val="2"/>
                <w:sz w:val="24"/>
                <w:szCs w:val="24"/>
                <w:lang w:val="en-US" w:eastAsia="zh-CN" w:bidi="ar-SA"/>
              </w:rPr>
              <w:t>/d（</w:t>
            </w:r>
            <w:r>
              <w:rPr>
                <w:rFonts w:hint="eastAsia" w:ascii="Times New Roman" w:hAnsi="Times New Roman" w:eastAsia="宋体" w:cs="Times New Roman"/>
                <w:bCs/>
                <w:color w:val="auto"/>
                <w:kern w:val="2"/>
                <w:sz w:val="24"/>
                <w:szCs w:val="24"/>
                <w:lang w:val="en-US" w:eastAsia="zh-CN" w:bidi="ar-SA"/>
              </w:rPr>
              <w:t>351.936t</w:t>
            </w:r>
            <w:r>
              <w:rPr>
                <w:rFonts w:ascii="Times New Roman" w:hAnsi="Times New Roman" w:eastAsia="宋体" w:cs="Times New Roman"/>
                <w:bCs/>
                <w:color w:val="auto"/>
                <w:kern w:val="2"/>
                <w:sz w:val="24"/>
                <w:szCs w:val="24"/>
                <w:lang w:val="en-US" w:eastAsia="zh-CN" w:bidi="ar-SA"/>
              </w:rPr>
              <w:t>/a）。</w:t>
            </w:r>
          </w:p>
        </w:tc>
      </w:tr>
      <w:tr w14:paraId="77FB7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9" w:hRule="atLeast"/>
          <w:jc w:val="center"/>
        </w:trPr>
        <w:tc>
          <w:tcPr>
            <w:tcW w:w="399" w:type="pct"/>
            <w:vAlign w:val="center"/>
          </w:tcPr>
          <w:p w14:paraId="1E629250">
            <w:pPr>
              <w:pStyle w:val="42"/>
              <w:rPr>
                <w:color w:val="auto"/>
              </w:rPr>
            </w:pPr>
            <w:r>
              <w:rPr>
                <w:color w:val="auto"/>
                <w:sz w:val="24"/>
                <w:szCs w:val="24"/>
              </w:rPr>
              <w:t>工艺流程和产排污环节</w:t>
            </w:r>
          </w:p>
        </w:tc>
        <w:tc>
          <w:tcPr>
            <w:tcW w:w="4600" w:type="pct"/>
          </w:tcPr>
          <w:p w14:paraId="4693D98F">
            <w:pPr>
              <w:widowControl/>
              <w:adjustRightInd w:val="0"/>
              <w:snapToGrid w:val="0"/>
              <w:ind w:firstLine="482"/>
              <w:rPr>
                <w:b/>
                <w:color w:val="auto"/>
                <w:szCs w:val="24"/>
              </w:rPr>
            </w:pPr>
            <w:r>
              <w:rPr>
                <w:b/>
                <w:color w:val="auto"/>
                <w:szCs w:val="24"/>
              </w:rPr>
              <w:t>1、生产工艺</w:t>
            </w:r>
          </w:p>
          <w:p w14:paraId="310E1C44">
            <w:pPr>
              <w:adjustRightInd w:val="0"/>
              <w:snapToGrid w:val="0"/>
              <w:ind w:firstLine="480"/>
              <w:rPr>
                <w:color w:val="auto"/>
                <w:szCs w:val="24"/>
              </w:rPr>
            </w:pPr>
            <w:r>
              <w:rPr>
                <w:color w:val="auto"/>
                <w:szCs w:val="24"/>
              </w:rPr>
              <w:t>本项目主要从事载带、料盘的生产，具体生产工艺流程及产污环节见图2-2、图2-3、图2-4（其中G—废气、N—噪声、S—固废）</w:t>
            </w:r>
          </w:p>
          <w:p w14:paraId="055F23F7">
            <w:pPr>
              <w:pStyle w:val="2"/>
              <w:ind w:firstLine="720" w:firstLineChars="300"/>
              <w:rPr>
                <w:color w:val="auto"/>
                <w:sz w:val="24"/>
                <w:szCs w:val="24"/>
              </w:rPr>
            </w:pPr>
            <w:r>
              <w:rPr>
                <w:color w:val="auto"/>
                <w:sz w:val="24"/>
                <w:szCs w:val="24"/>
              </w:rPr>
              <w:t>①载带1工艺流程及产污环节见图2-2。</w:t>
            </w:r>
          </w:p>
          <w:p w14:paraId="2DF3643E">
            <w:pPr>
              <w:pStyle w:val="3"/>
              <w:numPr>
                <w:ilvl w:val="0"/>
                <w:numId w:val="0"/>
              </w:numPr>
              <w:jc w:val="both"/>
              <w:rPr>
                <w:color w:val="auto"/>
              </w:rPr>
            </w:pPr>
            <w:r>
              <w:rPr>
                <w:color w:val="auto"/>
              </w:rPr>
              <w:drawing>
                <wp:inline distT="0" distB="0" distL="114300" distR="114300">
                  <wp:extent cx="4946650" cy="4753610"/>
                  <wp:effectExtent l="0" t="0" r="0" b="0"/>
                  <wp:docPr id="8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 descr="IMG_256"/>
                          <pic:cNvPicPr>
                            <a:picLocks noChangeAspect="1"/>
                          </pic:cNvPicPr>
                        </pic:nvPicPr>
                        <pic:blipFill>
                          <a:blip r:embed="rId13"/>
                          <a:stretch>
                            <a:fillRect/>
                          </a:stretch>
                        </pic:blipFill>
                        <pic:spPr>
                          <a:xfrm>
                            <a:off x="0" y="0"/>
                            <a:ext cx="4946650" cy="4753610"/>
                          </a:xfrm>
                          <a:prstGeom prst="rect">
                            <a:avLst/>
                          </a:prstGeom>
                          <a:noFill/>
                          <a:ln w="9525">
                            <a:noFill/>
                          </a:ln>
                        </pic:spPr>
                      </pic:pic>
                    </a:graphicData>
                  </a:graphic>
                </wp:inline>
              </w:drawing>
            </w:r>
          </w:p>
          <w:p w14:paraId="6D596A20">
            <w:pPr>
              <w:adjustRightInd w:val="0"/>
              <w:snapToGrid w:val="0"/>
              <w:spacing w:before="156" w:beforeLines="50"/>
              <w:ind w:firstLine="482"/>
              <w:jc w:val="center"/>
              <w:rPr>
                <w:b/>
                <w:bCs/>
                <w:color w:val="auto"/>
                <w:szCs w:val="24"/>
              </w:rPr>
            </w:pPr>
            <w:r>
              <w:rPr>
                <w:b/>
                <w:bCs/>
                <w:color w:val="auto"/>
                <w:szCs w:val="24"/>
              </w:rPr>
              <w:t>图2-2载带1生产工艺流程图及产污环节</w:t>
            </w:r>
          </w:p>
          <w:p w14:paraId="50054B4B">
            <w:pPr>
              <w:adjustRightInd w:val="0"/>
              <w:snapToGrid w:val="0"/>
              <w:ind w:firstLine="480"/>
              <w:rPr>
                <w:color w:val="auto"/>
                <w:szCs w:val="24"/>
              </w:rPr>
            </w:pPr>
            <w:r>
              <w:rPr>
                <w:color w:val="auto"/>
                <w:szCs w:val="24"/>
              </w:rPr>
              <w:t>②载带2工艺流程及产污环节见图2-3。</w:t>
            </w:r>
          </w:p>
          <w:p w14:paraId="76264FF0">
            <w:pPr>
              <w:widowControl/>
              <w:ind w:firstLine="0" w:firstLineChars="0"/>
              <w:jc w:val="center"/>
              <w:rPr>
                <w:color w:val="auto"/>
              </w:rPr>
            </w:pPr>
            <w:r>
              <w:rPr>
                <w:rStyle w:val="35"/>
                <w:color w:val="auto"/>
                <w:kern w:val="0"/>
              </w:rPr>
              <w:drawing>
                <wp:inline distT="0" distB="0" distL="114300" distR="114300">
                  <wp:extent cx="5095875" cy="3248025"/>
                  <wp:effectExtent l="0" t="0" r="0" b="0"/>
                  <wp:docPr id="8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6" descr="IMG_256"/>
                          <pic:cNvPicPr>
                            <a:picLocks noChangeAspect="1"/>
                          </pic:cNvPicPr>
                        </pic:nvPicPr>
                        <pic:blipFill>
                          <a:blip r:embed="rId14"/>
                          <a:stretch>
                            <a:fillRect/>
                          </a:stretch>
                        </pic:blipFill>
                        <pic:spPr>
                          <a:xfrm>
                            <a:off x="0" y="0"/>
                            <a:ext cx="5095875" cy="3248025"/>
                          </a:xfrm>
                          <a:prstGeom prst="rect">
                            <a:avLst/>
                          </a:prstGeom>
                          <a:noFill/>
                          <a:ln w="9525">
                            <a:noFill/>
                          </a:ln>
                        </pic:spPr>
                      </pic:pic>
                    </a:graphicData>
                  </a:graphic>
                </wp:inline>
              </w:drawing>
            </w:r>
          </w:p>
          <w:p w14:paraId="36D5A645">
            <w:pPr>
              <w:adjustRightInd w:val="0"/>
              <w:snapToGrid w:val="0"/>
              <w:spacing w:before="156" w:beforeLines="50"/>
              <w:ind w:firstLine="482"/>
              <w:jc w:val="center"/>
              <w:rPr>
                <w:b/>
                <w:bCs/>
                <w:color w:val="auto"/>
                <w:szCs w:val="24"/>
              </w:rPr>
            </w:pPr>
            <w:r>
              <w:rPr>
                <w:b/>
                <w:bCs/>
                <w:color w:val="auto"/>
                <w:szCs w:val="24"/>
              </w:rPr>
              <w:t>图2-3载带2生产工艺流程图及产污环节</w:t>
            </w:r>
          </w:p>
          <w:p w14:paraId="5EADDCD6">
            <w:pPr>
              <w:pStyle w:val="2"/>
              <w:ind w:firstLine="720" w:firstLineChars="300"/>
              <w:rPr>
                <w:color w:val="auto"/>
                <w:sz w:val="24"/>
                <w:szCs w:val="24"/>
              </w:rPr>
            </w:pPr>
            <w:r>
              <w:rPr>
                <w:color w:val="auto"/>
                <w:sz w:val="24"/>
                <w:szCs w:val="24"/>
              </w:rPr>
              <w:t>③料盘工艺流程及产污环节见图2-4</w:t>
            </w:r>
          </w:p>
          <w:p w14:paraId="4EFDEE6F">
            <w:pPr>
              <w:adjustRightInd w:val="0"/>
              <w:snapToGrid w:val="0"/>
              <w:spacing w:before="156" w:beforeLines="50"/>
              <w:ind w:firstLine="0" w:firstLineChars="0"/>
              <w:jc w:val="center"/>
              <w:rPr>
                <w:b/>
                <w:bCs/>
                <w:color w:val="auto"/>
                <w:szCs w:val="24"/>
              </w:rPr>
            </w:pPr>
            <w:r>
              <w:rPr>
                <w:b/>
                <w:bCs/>
                <w:color w:val="auto"/>
                <w:szCs w:val="24"/>
              </w:rPr>
              <w:drawing>
                <wp:inline distT="0" distB="0" distL="114300" distR="114300">
                  <wp:extent cx="5139690" cy="3206750"/>
                  <wp:effectExtent l="0" t="0" r="0" b="0"/>
                  <wp:docPr id="8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descr="IMG_256"/>
                          <pic:cNvPicPr>
                            <a:picLocks noChangeAspect="1"/>
                          </pic:cNvPicPr>
                        </pic:nvPicPr>
                        <pic:blipFill>
                          <a:blip r:embed="rId15"/>
                          <a:stretch>
                            <a:fillRect/>
                          </a:stretch>
                        </pic:blipFill>
                        <pic:spPr>
                          <a:xfrm>
                            <a:off x="0" y="0"/>
                            <a:ext cx="5139690" cy="3206750"/>
                          </a:xfrm>
                          <a:prstGeom prst="rect">
                            <a:avLst/>
                          </a:prstGeom>
                          <a:noFill/>
                          <a:ln w="9525">
                            <a:noFill/>
                          </a:ln>
                        </pic:spPr>
                      </pic:pic>
                    </a:graphicData>
                  </a:graphic>
                </wp:inline>
              </w:drawing>
            </w:r>
          </w:p>
          <w:p w14:paraId="7EB0F95A">
            <w:pPr>
              <w:adjustRightInd w:val="0"/>
              <w:snapToGrid w:val="0"/>
              <w:spacing w:before="156" w:beforeLines="50"/>
              <w:ind w:firstLine="482"/>
              <w:jc w:val="center"/>
              <w:rPr>
                <w:b/>
                <w:bCs/>
                <w:color w:val="auto"/>
                <w:szCs w:val="24"/>
              </w:rPr>
            </w:pPr>
            <w:r>
              <w:rPr>
                <w:b/>
                <w:bCs/>
                <w:color w:val="auto"/>
                <w:szCs w:val="24"/>
              </w:rPr>
              <w:t>图2-4料盘产工艺流程图及产污环节</w:t>
            </w:r>
          </w:p>
          <w:p w14:paraId="5EDC5F48">
            <w:pPr>
              <w:widowControl/>
              <w:adjustRightInd w:val="0"/>
              <w:snapToGrid w:val="0"/>
              <w:ind w:firstLine="482"/>
              <w:rPr>
                <w:b/>
                <w:color w:val="auto"/>
                <w:szCs w:val="24"/>
              </w:rPr>
            </w:pPr>
            <w:r>
              <w:rPr>
                <w:b/>
                <w:color w:val="auto"/>
                <w:szCs w:val="24"/>
              </w:rPr>
              <w:t>2、其他产污环节分析</w:t>
            </w:r>
          </w:p>
          <w:p w14:paraId="4223F02F">
            <w:pPr>
              <w:ind w:firstLine="480"/>
              <w:rPr>
                <w:rFonts w:ascii="Times New Roman" w:hAnsi="Times New Roman" w:cs="Times New Roman"/>
                <w:color w:val="auto"/>
                <w:szCs w:val="24"/>
              </w:rPr>
            </w:pPr>
            <w:r>
              <w:rPr>
                <w:rFonts w:ascii="Times New Roman" w:hAnsi="Times New Roman" w:cs="Times New Roman"/>
                <w:color w:val="auto"/>
                <w:szCs w:val="24"/>
              </w:rPr>
              <w:t>本项目模具委外维护，本项目生产中会产生相应类别的污染物，公辅设施也会产生相应污染物，主要为风机、水泵的运行噪声（N）、生活污水（W</w:t>
            </w:r>
            <w:r>
              <w:rPr>
                <w:rFonts w:ascii="Times New Roman" w:hAnsi="Times New Roman" w:cs="Times New Roman"/>
                <w:color w:val="auto"/>
                <w:szCs w:val="24"/>
                <w:vertAlign w:val="subscript"/>
              </w:rPr>
              <w:t>1</w:t>
            </w:r>
            <w:r>
              <w:rPr>
                <w:rFonts w:ascii="Times New Roman" w:hAnsi="Times New Roman" w:cs="Times New Roman"/>
                <w:color w:val="auto"/>
                <w:szCs w:val="24"/>
              </w:rPr>
              <w:t>）、原辅料所使用的废包装袋（S</w:t>
            </w:r>
            <w:r>
              <w:rPr>
                <w:rFonts w:ascii="Times New Roman" w:hAnsi="Times New Roman" w:cs="Times New Roman"/>
                <w:color w:val="auto"/>
                <w:szCs w:val="24"/>
                <w:vertAlign w:val="subscript"/>
              </w:rPr>
              <w:t>5</w:t>
            </w:r>
            <w:r>
              <w:rPr>
                <w:rFonts w:ascii="Times New Roman" w:hAnsi="Times New Roman" w:cs="Times New Roman"/>
                <w:color w:val="auto"/>
                <w:szCs w:val="24"/>
              </w:rPr>
              <w:t>）</w:t>
            </w:r>
            <w:r>
              <w:rPr>
                <w:rFonts w:hint="eastAsia" w:ascii="Times New Roman" w:hAnsi="Times New Roman" w:cs="Times New Roman"/>
                <w:color w:val="auto"/>
                <w:szCs w:val="24"/>
              </w:rPr>
              <w:t>；</w:t>
            </w:r>
            <w:r>
              <w:rPr>
                <w:rFonts w:ascii="Times New Roman" w:hAnsi="Times New Roman" w:cs="Times New Roman"/>
                <w:color w:val="auto"/>
                <w:szCs w:val="24"/>
              </w:rPr>
              <w:t>废气处理装置中的废活性炭（S</w:t>
            </w:r>
            <w:r>
              <w:rPr>
                <w:rFonts w:ascii="Times New Roman" w:hAnsi="Times New Roman" w:cs="Times New Roman"/>
                <w:color w:val="auto"/>
                <w:szCs w:val="24"/>
                <w:vertAlign w:val="subscript"/>
              </w:rPr>
              <w:t>6</w:t>
            </w:r>
            <w:r>
              <w:rPr>
                <w:rFonts w:ascii="Times New Roman" w:hAnsi="Times New Roman" w:cs="Times New Roman"/>
                <w:color w:val="auto"/>
                <w:szCs w:val="24"/>
              </w:rPr>
              <w:t>）</w:t>
            </w:r>
            <w:r>
              <w:rPr>
                <w:rFonts w:hint="eastAsia" w:ascii="Times New Roman" w:hAnsi="Times New Roman" w:cs="Times New Roman"/>
                <w:color w:val="auto"/>
                <w:szCs w:val="24"/>
              </w:rPr>
              <w:t>；设备</w:t>
            </w:r>
            <w:r>
              <w:rPr>
                <w:rFonts w:ascii="Times New Roman" w:hAnsi="Times New Roman" w:cs="Times New Roman"/>
                <w:color w:val="auto"/>
                <w:szCs w:val="24"/>
              </w:rPr>
              <w:t>保养产生的废机油（S</w:t>
            </w:r>
            <w:r>
              <w:rPr>
                <w:rFonts w:hint="eastAsia" w:ascii="Times New Roman" w:hAnsi="Times New Roman" w:cs="Times New Roman"/>
                <w:color w:val="auto"/>
                <w:szCs w:val="24"/>
                <w:vertAlign w:val="subscript"/>
              </w:rPr>
              <w:t>7</w:t>
            </w:r>
            <w:r>
              <w:rPr>
                <w:rFonts w:ascii="Times New Roman" w:hAnsi="Times New Roman" w:cs="Times New Roman"/>
                <w:color w:val="auto"/>
                <w:szCs w:val="24"/>
              </w:rPr>
              <w:t>）、废</w:t>
            </w:r>
            <w:r>
              <w:rPr>
                <w:rFonts w:hint="eastAsia" w:ascii="Times New Roman" w:hAnsi="Times New Roman" w:cs="Times New Roman"/>
                <w:color w:val="auto"/>
                <w:szCs w:val="24"/>
              </w:rPr>
              <w:t>机油桶</w:t>
            </w:r>
            <w:r>
              <w:rPr>
                <w:rFonts w:hint="eastAsia" w:ascii="Times New Roman" w:hAnsi="Times New Roman" w:cs="Times New Roman"/>
                <w:color w:val="auto"/>
              </w:rPr>
              <w:t>（S</w:t>
            </w:r>
            <w:r>
              <w:rPr>
                <w:rFonts w:hint="eastAsia" w:ascii="Times New Roman" w:hAnsi="Times New Roman" w:cs="Times New Roman"/>
                <w:color w:val="auto"/>
                <w:vertAlign w:val="subscript"/>
              </w:rPr>
              <w:t>8</w:t>
            </w:r>
            <w:r>
              <w:rPr>
                <w:rFonts w:hint="eastAsia" w:ascii="Times New Roman" w:hAnsi="Times New Roman" w:cs="Times New Roman"/>
                <w:color w:val="auto"/>
              </w:rPr>
              <w:t>）</w:t>
            </w:r>
            <w:r>
              <w:rPr>
                <w:rFonts w:ascii="Times New Roman" w:hAnsi="Times New Roman" w:cs="Times New Roman"/>
                <w:color w:val="auto"/>
                <w:szCs w:val="24"/>
              </w:rPr>
              <w:t>以及员工生活垃圾（S</w:t>
            </w:r>
            <w:r>
              <w:rPr>
                <w:rFonts w:hint="eastAsia" w:ascii="Times New Roman" w:hAnsi="Times New Roman" w:cs="Times New Roman"/>
                <w:color w:val="auto"/>
                <w:szCs w:val="24"/>
                <w:vertAlign w:val="subscript"/>
              </w:rPr>
              <w:t>9</w:t>
            </w:r>
            <w:r>
              <w:rPr>
                <w:rFonts w:ascii="Times New Roman" w:hAnsi="Times New Roman" w:cs="Times New Roman"/>
                <w:color w:val="auto"/>
                <w:szCs w:val="24"/>
              </w:rPr>
              <w:t>）。</w:t>
            </w:r>
          </w:p>
          <w:p w14:paraId="0DF62F30">
            <w:pPr>
              <w:spacing w:line="360" w:lineRule="auto"/>
              <w:ind w:firstLine="480" w:firstLineChars="200"/>
              <w:rPr>
                <w:color w:val="auto"/>
                <w:szCs w:val="24"/>
              </w:rPr>
            </w:pPr>
          </w:p>
          <w:p w14:paraId="1CDA2649">
            <w:pPr>
              <w:pStyle w:val="6"/>
              <w:ind w:firstLine="482"/>
              <w:rPr>
                <w:color w:val="auto"/>
              </w:rPr>
            </w:pPr>
          </w:p>
        </w:tc>
      </w:tr>
      <w:tr w14:paraId="038EB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399" w:type="pct"/>
            <w:vAlign w:val="center"/>
          </w:tcPr>
          <w:p w14:paraId="063F7F12">
            <w:pPr>
              <w:pStyle w:val="42"/>
              <w:rPr>
                <w:color w:val="auto"/>
              </w:rPr>
            </w:pPr>
            <w:r>
              <w:rPr>
                <w:color w:val="auto"/>
                <w:sz w:val="24"/>
                <w:szCs w:val="24"/>
              </w:rPr>
              <w:t>与项目有关的环境污染问题</w:t>
            </w:r>
          </w:p>
        </w:tc>
        <w:tc>
          <w:tcPr>
            <w:tcW w:w="4600" w:type="pct"/>
          </w:tcPr>
          <w:p w14:paraId="4CFA766F">
            <w:pPr>
              <w:adjustRightInd w:val="0"/>
              <w:snapToGrid w:val="0"/>
              <w:ind w:firstLine="480"/>
              <w:rPr>
                <w:color w:val="auto"/>
                <w:szCs w:val="24"/>
              </w:rPr>
            </w:pPr>
            <w:r>
              <w:rPr>
                <w:color w:val="auto"/>
                <w:szCs w:val="24"/>
              </w:rPr>
              <w:t>无锡载创电子科技有限公司拟在江阴市青阳镇振阳路122号科创微城8号从事塑料制品制造的生产。据调查，江阴桐新建设发展有限公司科创微城</w:t>
            </w:r>
            <w:r>
              <w:rPr>
                <w:rFonts w:hint="eastAsia"/>
                <w:color w:val="auto"/>
                <w:szCs w:val="24"/>
              </w:rPr>
              <w:t>为全力响应工业园区升级改造、积极策应客湾科学城总体规划发展建设的产业承载区，目前一期项目于2025年5月竣工交付，</w:t>
            </w:r>
            <w:r>
              <w:rPr>
                <w:color w:val="auto"/>
                <w:szCs w:val="24"/>
              </w:rPr>
              <w:t>厂房建成后尚未进行生产活动。现有厂房不涉及“化工、农药、石化、医药、金属冶炼、铅蓄电池、皮革、金属表面处理、生产储存使用危险化学品、贮存利用处置危险废物及其他可能造成场地污染的工业企业”，根据现场踏勘情况，目前所有厂房均处于闲置状态，不涉及场地污染，符合环发</w:t>
            </w:r>
            <w:r>
              <w:rPr>
                <w:bCs/>
                <w:color w:val="auto"/>
                <w:szCs w:val="24"/>
              </w:rPr>
              <w:t>〔2012〕</w:t>
            </w:r>
            <w:r>
              <w:rPr>
                <w:color w:val="auto"/>
                <w:szCs w:val="24"/>
              </w:rPr>
              <w:t>140号、苏环保</w:t>
            </w:r>
            <w:r>
              <w:rPr>
                <w:bCs/>
                <w:color w:val="auto"/>
                <w:szCs w:val="24"/>
              </w:rPr>
              <w:t>〔2013〕</w:t>
            </w:r>
            <w:r>
              <w:rPr>
                <w:color w:val="auto"/>
                <w:szCs w:val="24"/>
              </w:rPr>
              <w:t>246文件相关要求，因此该场地可满足本项目开发利用要求。</w:t>
            </w:r>
          </w:p>
          <w:p w14:paraId="3F9E5033">
            <w:pPr>
              <w:pStyle w:val="2"/>
              <w:spacing w:before="0" w:after="0" w:line="360" w:lineRule="auto"/>
              <w:ind w:right="0" w:firstLine="480"/>
              <w:rPr>
                <w:color w:val="auto"/>
                <w:kern w:val="2"/>
                <w:sz w:val="24"/>
                <w:szCs w:val="24"/>
              </w:rPr>
            </w:pPr>
            <w:r>
              <w:rPr>
                <w:color w:val="auto"/>
                <w:kern w:val="2"/>
                <w:sz w:val="24"/>
                <w:szCs w:val="24"/>
              </w:rPr>
              <w:t>根据实地调查，项目建设地供水、供电设施均已完善，污水管网已接通，本项目生活污水经化粪池预处理后接入江阴市城南污水处理有限公司集中处理。</w:t>
            </w:r>
          </w:p>
          <w:p w14:paraId="37778021">
            <w:pPr>
              <w:pStyle w:val="2"/>
              <w:ind w:firstLine="420"/>
              <w:rPr>
                <w:color w:val="auto"/>
                <w:sz w:val="21"/>
                <w:szCs w:val="21"/>
              </w:rPr>
            </w:pPr>
          </w:p>
          <w:p w14:paraId="7E7B5664">
            <w:pPr>
              <w:ind w:firstLine="480"/>
              <w:rPr>
                <w:color w:val="auto"/>
              </w:rPr>
            </w:pPr>
          </w:p>
          <w:p w14:paraId="5CAE2373">
            <w:pPr>
              <w:pStyle w:val="2"/>
              <w:ind w:firstLine="360"/>
              <w:rPr>
                <w:color w:val="auto"/>
              </w:rPr>
            </w:pPr>
          </w:p>
          <w:p w14:paraId="1F92ECFD">
            <w:pPr>
              <w:ind w:firstLine="480"/>
              <w:rPr>
                <w:color w:val="auto"/>
              </w:rPr>
            </w:pPr>
          </w:p>
          <w:p w14:paraId="629A6333">
            <w:pPr>
              <w:pStyle w:val="25"/>
              <w:ind w:left="480"/>
              <w:rPr>
                <w:rFonts w:hint="default" w:ascii="Times New Roman" w:hAnsi="Times New Roman"/>
                <w:color w:val="auto"/>
              </w:rPr>
            </w:pPr>
          </w:p>
          <w:p w14:paraId="57DC8BB2">
            <w:pPr>
              <w:pStyle w:val="26"/>
              <w:ind w:firstLine="480"/>
              <w:rPr>
                <w:rFonts w:hint="default" w:ascii="Times New Roman" w:hAnsi="Times New Roman"/>
                <w:color w:val="auto"/>
              </w:rPr>
            </w:pPr>
          </w:p>
          <w:p w14:paraId="42E80248">
            <w:pPr>
              <w:pStyle w:val="26"/>
              <w:ind w:firstLine="480"/>
              <w:rPr>
                <w:rFonts w:hint="default" w:ascii="Times New Roman" w:hAnsi="Times New Roman"/>
                <w:color w:val="auto"/>
              </w:rPr>
            </w:pPr>
          </w:p>
          <w:p w14:paraId="59AC5D18">
            <w:pPr>
              <w:pStyle w:val="2"/>
              <w:ind w:firstLine="360"/>
              <w:rPr>
                <w:color w:val="auto"/>
              </w:rPr>
            </w:pPr>
          </w:p>
          <w:p w14:paraId="447C52DC">
            <w:pPr>
              <w:ind w:firstLine="480"/>
              <w:rPr>
                <w:color w:val="auto"/>
              </w:rPr>
            </w:pPr>
          </w:p>
          <w:p w14:paraId="07B48C75">
            <w:pPr>
              <w:pStyle w:val="2"/>
              <w:ind w:firstLine="360"/>
              <w:rPr>
                <w:color w:val="auto"/>
              </w:rPr>
            </w:pPr>
          </w:p>
          <w:p w14:paraId="347D1B34">
            <w:pPr>
              <w:ind w:firstLine="480"/>
              <w:rPr>
                <w:color w:val="auto"/>
              </w:rPr>
            </w:pPr>
          </w:p>
          <w:p w14:paraId="3E89644B">
            <w:pPr>
              <w:pStyle w:val="2"/>
              <w:ind w:firstLine="360"/>
              <w:rPr>
                <w:color w:val="auto"/>
              </w:rPr>
            </w:pPr>
          </w:p>
          <w:p w14:paraId="37D9793F">
            <w:pPr>
              <w:ind w:firstLine="480"/>
              <w:rPr>
                <w:color w:val="auto"/>
              </w:rPr>
            </w:pPr>
          </w:p>
          <w:p w14:paraId="2D0D4439">
            <w:pPr>
              <w:pStyle w:val="2"/>
              <w:ind w:firstLine="360"/>
              <w:rPr>
                <w:color w:val="auto"/>
              </w:rPr>
            </w:pPr>
          </w:p>
          <w:p w14:paraId="70FF0C7B">
            <w:pPr>
              <w:pStyle w:val="2"/>
              <w:ind w:firstLine="360"/>
              <w:rPr>
                <w:color w:val="auto"/>
              </w:rPr>
            </w:pPr>
          </w:p>
        </w:tc>
      </w:tr>
    </w:tbl>
    <w:p w14:paraId="1569967A">
      <w:pPr>
        <w:pStyle w:val="13"/>
        <w:spacing w:after="0"/>
        <w:ind w:left="0" w:leftChars="0" w:right="0" w:rightChars="0" w:firstLine="480"/>
        <w:rPr>
          <w:color w:val="auto"/>
        </w:rPr>
      </w:pPr>
      <w:r>
        <w:rPr>
          <w:color w:val="auto"/>
        </w:rPr>
        <w:br w:type="page"/>
      </w:r>
    </w:p>
    <w:p w14:paraId="0EBE8590">
      <w:pPr>
        <w:pStyle w:val="21"/>
        <w:spacing w:line="240" w:lineRule="auto"/>
        <w:ind w:firstLine="600"/>
        <w:jc w:val="center"/>
        <w:outlineLvl w:val="0"/>
        <w:rPr>
          <w:rFonts w:ascii="Times New Roman" w:hAnsi="Times New Roman"/>
          <w:snapToGrid w:val="0"/>
          <w:color w:val="auto"/>
          <w:kern w:val="0"/>
          <w:sz w:val="30"/>
          <w:szCs w:val="30"/>
        </w:rPr>
      </w:pPr>
      <w:r>
        <w:rPr>
          <w:rFonts w:ascii="Times New Roman" w:hAnsi="Times New Roman"/>
          <w:snapToGrid w:val="0"/>
          <w:color w:val="auto"/>
          <w:kern w:val="0"/>
          <w:sz w:val="30"/>
          <w:szCs w:val="30"/>
        </w:rPr>
        <w:t>三、区域环境质量现状、环境保护目标及评价标准</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7970"/>
      </w:tblGrid>
      <w:tr w14:paraId="4FC3D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323" w:type="pct"/>
            <w:vAlign w:val="center"/>
          </w:tcPr>
          <w:p w14:paraId="3E16A47A">
            <w:pPr>
              <w:pStyle w:val="42"/>
              <w:rPr>
                <w:color w:val="auto"/>
                <w:kern w:val="0"/>
              </w:rPr>
            </w:pPr>
            <w:r>
              <w:rPr>
                <w:color w:val="auto"/>
                <w:sz w:val="24"/>
                <w:szCs w:val="24"/>
              </w:rPr>
              <w:t>区域环境质量现状</w:t>
            </w:r>
          </w:p>
        </w:tc>
        <w:tc>
          <w:tcPr>
            <w:tcW w:w="4676" w:type="pct"/>
            <w:vAlign w:val="center"/>
          </w:tcPr>
          <w:p w14:paraId="05B0BAE2">
            <w:pPr>
              <w:pStyle w:val="44"/>
              <w:ind w:firstLine="482"/>
              <w:rPr>
                <w:b/>
                <w:bCs/>
                <w:color w:val="auto"/>
                <w:szCs w:val="24"/>
              </w:rPr>
            </w:pPr>
            <w:r>
              <w:rPr>
                <w:b/>
                <w:bCs/>
                <w:color w:val="auto"/>
                <w:szCs w:val="24"/>
              </w:rPr>
              <w:t>1、环境空气</w:t>
            </w:r>
          </w:p>
          <w:p w14:paraId="67FE2C6B">
            <w:pPr>
              <w:pStyle w:val="44"/>
              <w:adjustRightInd w:val="0"/>
              <w:snapToGrid w:val="0"/>
              <w:ind w:firstLine="480"/>
              <w:rPr>
                <w:color w:val="auto"/>
                <w:szCs w:val="24"/>
              </w:rPr>
            </w:pPr>
            <w:r>
              <w:rPr>
                <w:color w:val="auto"/>
                <w:szCs w:val="24"/>
              </w:rPr>
              <w:t>（1）空气质量</w:t>
            </w:r>
          </w:p>
          <w:p w14:paraId="1CFAE72E">
            <w:pPr>
              <w:autoSpaceDE w:val="0"/>
              <w:adjustRightInd w:val="0"/>
              <w:snapToGrid w:val="0"/>
              <w:ind w:firstLine="480"/>
              <w:rPr>
                <w:color w:val="auto"/>
                <w:szCs w:val="24"/>
              </w:rPr>
            </w:pPr>
            <w:r>
              <w:rPr>
                <w:color w:val="auto"/>
                <w:szCs w:val="24"/>
              </w:rPr>
              <w:t>根据《2024年度江阴市生态环境状况公报》，2024年，全市PM</w:t>
            </w:r>
            <w:r>
              <w:rPr>
                <w:color w:val="auto"/>
                <w:szCs w:val="24"/>
                <w:vertAlign w:val="subscript"/>
              </w:rPr>
              <w:t>2.5</w:t>
            </w:r>
            <w:r>
              <w:rPr>
                <w:color w:val="auto"/>
                <w:szCs w:val="24"/>
              </w:rPr>
              <w:t>年平均浓度32微克/立方米，空气优良天数298天，优良天数比率为81.4%。</w:t>
            </w:r>
          </w:p>
          <w:p w14:paraId="60838F2C">
            <w:pPr>
              <w:autoSpaceDE w:val="0"/>
              <w:adjustRightInd w:val="0"/>
              <w:snapToGrid w:val="0"/>
              <w:ind w:firstLine="480"/>
              <w:rPr>
                <w:color w:val="auto"/>
                <w:szCs w:val="24"/>
              </w:rPr>
            </w:pPr>
            <w:r>
              <w:rPr>
                <w:color w:val="auto"/>
                <w:szCs w:val="24"/>
              </w:rPr>
              <w:t>全市空气SO</w:t>
            </w:r>
            <w:r>
              <w:rPr>
                <w:color w:val="auto"/>
                <w:szCs w:val="24"/>
                <w:vertAlign w:val="subscript"/>
              </w:rPr>
              <w:t>2</w:t>
            </w:r>
            <w:r>
              <w:rPr>
                <w:color w:val="auto"/>
                <w:szCs w:val="24"/>
              </w:rPr>
              <w:t>年平均浓度为8.0微克/立方米，达到一级标准；NO</w:t>
            </w:r>
            <w:r>
              <w:rPr>
                <w:color w:val="auto"/>
                <w:szCs w:val="24"/>
                <w:vertAlign w:val="subscript"/>
              </w:rPr>
              <w:t>2</w:t>
            </w:r>
            <w:r>
              <w:rPr>
                <w:color w:val="auto"/>
                <w:szCs w:val="24"/>
              </w:rPr>
              <w:t>年平均浓度为33.1微克/立方米，达到一级标准；PM</w:t>
            </w:r>
            <w:r>
              <w:rPr>
                <w:color w:val="auto"/>
                <w:szCs w:val="24"/>
                <w:vertAlign w:val="subscript"/>
              </w:rPr>
              <w:t>10</w:t>
            </w:r>
            <w:r>
              <w:rPr>
                <w:color w:val="auto"/>
                <w:szCs w:val="24"/>
              </w:rPr>
              <w:t>年平均浓度为51.7微克/立方米，达到二级标准，全省排名同比上升3名；CO年平均浓度1.134毫克/立方米，达到一级标准；O</w:t>
            </w:r>
            <w:r>
              <w:rPr>
                <w:color w:val="auto"/>
                <w:szCs w:val="24"/>
                <w:vertAlign w:val="subscript"/>
              </w:rPr>
              <w:t>3</w:t>
            </w:r>
            <w:r>
              <w:rPr>
                <w:color w:val="auto"/>
                <w:szCs w:val="24"/>
              </w:rPr>
              <w:t>年平均浓度162微克/立方米。因此，该区域为不达标区。</w:t>
            </w:r>
          </w:p>
          <w:p w14:paraId="3218856B">
            <w:pPr>
              <w:autoSpaceDE w:val="0"/>
              <w:adjustRightInd w:val="0"/>
              <w:snapToGrid w:val="0"/>
              <w:ind w:firstLine="480"/>
              <w:rPr>
                <w:color w:val="auto"/>
                <w:szCs w:val="24"/>
              </w:rPr>
            </w:pPr>
            <w:r>
              <w:rPr>
                <w:color w:val="auto"/>
                <w:szCs w:val="24"/>
              </w:rPr>
              <w:t>根据《2024年度江阴市生态环境状况公报》可知，2024年江阴市空气质量状况见表3-1。</w:t>
            </w:r>
          </w:p>
          <w:p w14:paraId="71C32C11">
            <w:pPr>
              <w:pStyle w:val="5"/>
              <w:numPr>
                <w:ilvl w:val="0"/>
                <w:numId w:val="0"/>
              </w:numPr>
              <w:rPr>
                <w:rFonts w:eastAsia="宋体"/>
                <w:b/>
                <w:color w:val="auto"/>
                <w:szCs w:val="24"/>
              </w:rPr>
            </w:pPr>
            <w:r>
              <w:rPr>
                <w:rFonts w:eastAsia="宋体"/>
                <w:b/>
                <w:color w:val="auto"/>
                <w:szCs w:val="24"/>
              </w:rPr>
              <w:t>表3-1空气质量现状评价表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801"/>
              <w:gridCol w:w="1802"/>
              <w:gridCol w:w="1685"/>
              <w:gridCol w:w="1654"/>
              <w:gridCol w:w="904"/>
              <w:gridCol w:w="905"/>
            </w:tblGrid>
            <w:tr w14:paraId="09F3F94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tcBorders>
                    <w:top w:val="single" w:color="auto" w:sz="12" w:space="0"/>
                    <w:left w:val="nil"/>
                    <w:bottom w:val="single" w:color="auto" w:sz="4" w:space="0"/>
                    <w:right w:val="single" w:color="auto" w:sz="2" w:space="0"/>
                  </w:tcBorders>
                  <w:vAlign w:val="center"/>
                </w:tcPr>
                <w:p w14:paraId="677E6BFA">
                  <w:pPr>
                    <w:pStyle w:val="42"/>
                    <w:rPr>
                      <w:b/>
                      <w:bCs/>
                      <w:color w:val="auto"/>
                    </w:rPr>
                  </w:pPr>
                  <w:r>
                    <w:rPr>
                      <w:b/>
                      <w:bCs/>
                      <w:color w:val="auto"/>
                    </w:rPr>
                    <w:t>年份</w:t>
                  </w:r>
                </w:p>
              </w:tc>
              <w:tc>
                <w:tcPr>
                  <w:tcW w:w="1846" w:type="dxa"/>
                  <w:tcBorders>
                    <w:top w:val="single" w:color="auto" w:sz="12" w:space="0"/>
                    <w:left w:val="single" w:color="auto" w:sz="2" w:space="0"/>
                    <w:bottom w:val="single" w:color="auto" w:sz="4" w:space="0"/>
                    <w:right w:val="single" w:color="auto" w:sz="2" w:space="0"/>
                  </w:tcBorders>
                  <w:vAlign w:val="center"/>
                </w:tcPr>
                <w:p w14:paraId="780153EC">
                  <w:pPr>
                    <w:pStyle w:val="42"/>
                    <w:rPr>
                      <w:b/>
                      <w:bCs/>
                      <w:color w:val="auto"/>
                    </w:rPr>
                  </w:pPr>
                  <w:r>
                    <w:rPr>
                      <w:b/>
                      <w:bCs/>
                      <w:color w:val="auto"/>
                    </w:rPr>
                    <w:t>污染物</w:t>
                  </w:r>
                </w:p>
              </w:tc>
              <w:tc>
                <w:tcPr>
                  <w:tcW w:w="1733" w:type="dxa"/>
                  <w:tcBorders>
                    <w:top w:val="single" w:color="auto" w:sz="12" w:space="0"/>
                    <w:left w:val="single" w:color="auto" w:sz="2" w:space="0"/>
                    <w:bottom w:val="single" w:color="auto" w:sz="4" w:space="0"/>
                    <w:right w:val="single" w:color="auto" w:sz="2" w:space="0"/>
                  </w:tcBorders>
                  <w:vAlign w:val="center"/>
                </w:tcPr>
                <w:p w14:paraId="65FD7978">
                  <w:pPr>
                    <w:pStyle w:val="42"/>
                    <w:rPr>
                      <w:b/>
                      <w:bCs/>
                      <w:color w:val="auto"/>
                    </w:rPr>
                  </w:pPr>
                  <w:r>
                    <w:rPr>
                      <w:b/>
                      <w:bCs/>
                      <w:color w:val="auto"/>
                    </w:rPr>
                    <w:t>年评价指标</w:t>
                  </w:r>
                </w:p>
              </w:tc>
              <w:tc>
                <w:tcPr>
                  <w:tcW w:w="1691" w:type="dxa"/>
                  <w:tcBorders>
                    <w:top w:val="single" w:color="auto" w:sz="12" w:space="0"/>
                    <w:left w:val="single" w:color="auto" w:sz="2" w:space="0"/>
                    <w:bottom w:val="single" w:color="auto" w:sz="4" w:space="0"/>
                    <w:right w:val="single" w:color="auto" w:sz="2" w:space="0"/>
                  </w:tcBorders>
                  <w:vAlign w:val="center"/>
                </w:tcPr>
                <w:p w14:paraId="4829F0CC">
                  <w:pPr>
                    <w:pStyle w:val="42"/>
                    <w:rPr>
                      <w:b/>
                      <w:bCs/>
                      <w:color w:val="auto"/>
                    </w:rPr>
                  </w:pPr>
                  <w:r>
                    <w:rPr>
                      <w:b/>
                      <w:bCs/>
                      <w:color w:val="auto"/>
                    </w:rPr>
                    <w:t>现状浓度μg/m</w:t>
                  </w:r>
                  <w:r>
                    <w:rPr>
                      <w:b/>
                      <w:bCs/>
                      <w:color w:val="auto"/>
                      <w:vertAlign w:val="superscript"/>
                    </w:rPr>
                    <w:t>3</w:t>
                  </w:r>
                </w:p>
              </w:tc>
              <w:tc>
                <w:tcPr>
                  <w:tcW w:w="915" w:type="dxa"/>
                  <w:tcBorders>
                    <w:top w:val="single" w:color="auto" w:sz="12" w:space="0"/>
                    <w:left w:val="single" w:color="auto" w:sz="2" w:space="0"/>
                    <w:bottom w:val="single" w:color="auto" w:sz="4" w:space="0"/>
                    <w:right w:val="single" w:color="auto" w:sz="2" w:space="0"/>
                  </w:tcBorders>
                  <w:vAlign w:val="center"/>
                </w:tcPr>
                <w:p w14:paraId="0C0793C9">
                  <w:pPr>
                    <w:pStyle w:val="42"/>
                    <w:rPr>
                      <w:b/>
                      <w:bCs/>
                      <w:color w:val="auto"/>
                    </w:rPr>
                  </w:pPr>
                  <w:r>
                    <w:rPr>
                      <w:b/>
                      <w:bCs/>
                      <w:color w:val="auto"/>
                    </w:rPr>
                    <w:t>标准值</w:t>
                  </w:r>
                </w:p>
                <w:p w14:paraId="19BD390C">
                  <w:pPr>
                    <w:pStyle w:val="42"/>
                    <w:rPr>
                      <w:b/>
                      <w:bCs/>
                      <w:color w:val="auto"/>
                    </w:rPr>
                  </w:pPr>
                  <w:r>
                    <w:rPr>
                      <w:b/>
                      <w:bCs/>
                      <w:color w:val="auto"/>
                    </w:rPr>
                    <w:t>μg/m</w:t>
                  </w:r>
                  <w:r>
                    <w:rPr>
                      <w:b/>
                      <w:bCs/>
                      <w:color w:val="auto"/>
                      <w:vertAlign w:val="superscript"/>
                    </w:rPr>
                    <w:t>3</w:t>
                  </w:r>
                </w:p>
              </w:tc>
              <w:tc>
                <w:tcPr>
                  <w:tcW w:w="914" w:type="dxa"/>
                  <w:tcBorders>
                    <w:top w:val="single" w:color="auto" w:sz="12" w:space="0"/>
                    <w:left w:val="single" w:color="auto" w:sz="2" w:space="0"/>
                    <w:bottom w:val="single" w:color="auto" w:sz="4" w:space="0"/>
                    <w:right w:val="nil"/>
                  </w:tcBorders>
                  <w:vAlign w:val="center"/>
                </w:tcPr>
                <w:p w14:paraId="0B424F97">
                  <w:pPr>
                    <w:pStyle w:val="42"/>
                    <w:rPr>
                      <w:b/>
                      <w:bCs/>
                      <w:color w:val="auto"/>
                    </w:rPr>
                  </w:pPr>
                  <w:r>
                    <w:rPr>
                      <w:b/>
                      <w:bCs/>
                      <w:color w:val="auto"/>
                    </w:rPr>
                    <w:t>占标率/%</w:t>
                  </w:r>
                </w:p>
              </w:tc>
            </w:tr>
            <w:tr w14:paraId="2B222C6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vMerge w:val="restart"/>
                  <w:tcBorders>
                    <w:top w:val="single" w:color="auto" w:sz="4" w:space="0"/>
                    <w:left w:val="nil"/>
                    <w:bottom w:val="single" w:color="auto" w:sz="2" w:space="0"/>
                    <w:right w:val="single" w:color="auto" w:sz="2" w:space="0"/>
                  </w:tcBorders>
                  <w:vAlign w:val="center"/>
                </w:tcPr>
                <w:p w14:paraId="6FADB1DD">
                  <w:pPr>
                    <w:pStyle w:val="42"/>
                    <w:rPr>
                      <w:color w:val="auto"/>
                    </w:rPr>
                  </w:pPr>
                  <w:r>
                    <w:rPr>
                      <w:color w:val="auto"/>
                    </w:rPr>
                    <w:t>2024年</w:t>
                  </w:r>
                </w:p>
              </w:tc>
              <w:tc>
                <w:tcPr>
                  <w:tcW w:w="1846" w:type="dxa"/>
                  <w:tcBorders>
                    <w:top w:val="single" w:color="auto" w:sz="4" w:space="0"/>
                    <w:left w:val="single" w:color="auto" w:sz="2" w:space="0"/>
                    <w:bottom w:val="single" w:color="auto" w:sz="2" w:space="0"/>
                    <w:right w:val="single" w:color="auto" w:sz="2" w:space="0"/>
                  </w:tcBorders>
                  <w:vAlign w:val="center"/>
                </w:tcPr>
                <w:p w14:paraId="758D4C2A">
                  <w:pPr>
                    <w:pStyle w:val="42"/>
                    <w:rPr>
                      <w:color w:val="auto"/>
                    </w:rPr>
                  </w:pPr>
                  <w:r>
                    <w:rPr>
                      <w:color w:val="auto"/>
                    </w:rPr>
                    <w:t>SO</w:t>
                  </w:r>
                  <w:r>
                    <w:rPr>
                      <w:color w:val="auto"/>
                      <w:vertAlign w:val="subscript"/>
                    </w:rPr>
                    <w:t>2</w:t>
                  </w:r>
                </w:p>
              </w:tc>
              <w:tc>
                <w:tcPr>
                  <w:tcW w:w="1733" w:type="dxa"/>
                  <w:tcBorders>
                    <w:top w:val="single" w:color="auto" w:sz="4" w:space="0"/>
                    <w:left w:val="single" w:color="auto" w:sz="2" w:space="0"/>
                    <w:bottom w:val="single" w:color="auto" w:sz="2" w:space="0"/>
                    <w:right w:val="single" w:color="auto" w:sz="2" w:space="0"/>
                  </w:tcBorders>
                  <w:vAlign w:val="center"/>
                </w:tcPr>
                <w:p w14:paraId="48AFE237">
                  <w:pPr>
                    <w:pStyle w:val="42"/>
                    <w:rPr>
                      <w:color w:val="auto"/>
                    </w:rPr>
                  </w:pPr>
                  <w:r>
                    <w:rPr>
                      <w:color w:val="auto"/>
                    </w:rPr>
                    <w:t>年平均质量浓度</w:t>
                  </w:r>
                </w:p>
              </w:tc>
              <w:tc>
                <w:tcPr>
                  <w:tcW w:w="1691" w:type="dxa"/>
                  <w:tcBorders>
                    <w:top w:val="single" w:color="auto" w:sz="4" w:space="0"/>
                    <w:left w:val="single" w:color="auto" w:sz="2" w:space="0"/>
                    <w:bottom w:val="single" w:color="auto" w:sz="2" w:space="0"/>
                    <w:right w:val="single" w:color="auto" w:sz="2" w:space="0"/>
                  </w:tcBorders>
                  <w:vAlign w:val="center"/>
                </w:tcPr>
                <w:p w14:paraId="1E8634AB">
                  <w:pPr>
                    <w:pStyle w:val="42"/>
                    <w:rPr>
                      <w:color w:val="auto"/>
                    </w:rPr>
                  </w:pPr>
                  <w:r>
                    <w:rPr>
                      <w:color w:val="auto"/>
                    </w:rPr>
                    <w:t>8.0</w:t>
                  </w:r>
                </w:p>
              </w:tc>
              <w:tc>
                <w:tcPr>
                  <w:tcW w:w="915" w:type="dxa"/>
                  <w:tcBorders>
                    <w:top w:val="single" w:color="auto" w:sz="4" w:space="0"/>
                    <w:left w:val="single" w:color="auto" w:sz="2" w:space="0"/>
                    <w:bottom w:val="single" w:color="auto" w:sz="2" w:space="0"/>
                    <w:right w:val="single" w:color="auto" w:sz="2" w:space="0"/>
                  </w:tcBorders>
                  <w:vAlign w:val="center"/>
                </w:tcPr>
                <w:p w14:paraId="1D9F520D">
                  <w:pPr>
                    <w:pStyle w:val="42"/>
                    <w:rPr>
                      <w:color w:val="auto"/>
                    </w:rPr>
                  </w:pPr>
                  <w:r>
                    <w:rPr>
                      <w:color w:val="auto"/>
                    </w:rPr>
                    <w:t>60</w:t>
                  </w:r>
                </w:p>
              </w:tc>
              <w:tc>
                <w:tcPr>
                  <w:tcW w:w="914" w:type="dxa"/>
                  <w:tcBorders>
                    <w:top w:val="single" w:color="auto" w:sz="4" w:space="0"/>
                    <w:left w:val="single" w:color="auto" w:sz="2" w:space="0"/>
                    <w:bottom w:val="single" w:color="auto" w:sz="2" w:space="0"/>
                    <w:right w:val="nil"/>
                  </w:tcBorders>
                  <w:vAlign w:val="center"/>
                </w:tcPr>
                <w:p w14:paraId="041B6C9B">
                  <w:pPr>
                    <w:pStyle w:val="42"/>
                    <w:rPr>
                      <w:color w:val="auto"/>
                    </w:rPr>
                  </w:pPr>
                  <w:r>
                    <w:rPr>
                      <w:color w:val="auto"/>
                    </w:rPr>
                    <w:t>13.3</w:t>
                  </w:r>
                </w:p>
              </w:tc>
            </w:tr>
            <w:tr w14:paraId="474A261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vMerge w:val="continue"/>
                  <w:tcBorders>
                    <w:top w:val="single" w:color="auto" w:sz="2" w:space="0"/>
                    <w:left w:val="nil"/>
                    <w:bottom w:val="single" w:color="auto" w:sz="2" w:space="0"/>
                    <w:right w:val="single" w:color="auto" w:sz="2" w:space="0"/>
                  </w:tcBorders>
                  <w:vAlign w:val="center"/>
                </w:tcPr>
                <w:p w14:paraId="590E712A">
                  <w:pPr>
                    <w:pStyle w:val="42"/>
                    <w:rPr>
                      <w:color w:val="auto"/>
                    </w:rPr>
                  </w:pPr>
                </w:p>
              </w:tc>
              <w:tc>
                <w:tcPr>
                  <w:tcW w:w="1846" w:type="dxa"/>
                  <w:tcBorders>
                    <w:top w:val="single" w:color="auto" w:sz="2" w:space="0"/>
                    <w:left w:val="single" w:color="auto" w:sz="2" w:space="0"/>
                    <w:bottom w:val="single" w:color="auto" w:sz="2" w:space="0"/>
                    <w:right w:val="single" w:color="auto" w:sz="2" w:space="0"/>
                  </w:tcBorders>
                  <w:vAlign w:val="center"/>
                </w:tcPr>
                <w:p w14:paraId="1A183ADE">
                  <w:pPr>
                    <w:pStyle w:val="42"/>
                    <w:rPr>
                      <w:color w:val="auto"/>
                    </w:rPr>
                  </w:pPr>
                  <w:r>
                    <w:rPr>
                      <w:color w:val="auto"/>
                    </w:rPr>
                    <w:t>NO</w:t>
                  </w:r>
                  <w:r>
                    <w:rPr>
                      <w:color w:val="auto"/>
                      <w:vertAlign w:val="subscript"/>
                    </w:rPr>
                    <w:t>2</w:t>
                  </w:r>
                </w:p>
              </w:tc>
              <w:tc>
                <w:tcPr>
                  <w:tcW w:w="1733" w:type="dxa"/>
                  <w:tcBorders>
                    <w:top w:val="single" w:color="auto" w:sz="2" w:space="0"/>
                    <w:left w:val="single" w:color="auto" w:sz="2" w:space="0"/>
                    <w:bottom w:val="single" w:color="auto" w:sz="2" w:space="0"/>
                    <w:right w:val="single" w:color="auto" w:sz="2" w:space="0"/>
                  </w:tcBorders>
                  <w:vAlign w:val="center"/>
                </w:tcPr>
                <w:p w14:paraId="2E970BA0">
                  <w:pPr>
                    <w:pStyle w:val="42"/>
                    <w:rPr>
                      <w:color w:val="auto"/>
                    </w:rPr>
                  </w:pPr>
                  <w:r>
                    <w:rPr>
                      <w:color w:val="auto"/>
                    </w:rPr>
                    <w:t>年平均质量浓度</w:t>
                  </w:r>
                </w:p>
              </w:tc>
              <w:tc>
                <w:tcPr>
                  <w:tcW w:w="1691" w:type="dxa"/>
                  <w:tcBorders>
                    <w:top w:val="single" w:color="auto" w:sz="2" w:space="0"/>
                    <w:left w:val="single" w:color="auto" w:sz="2" w:space="0"/>
                    <w:bottom w:val="single" w:color="auto" w:sz="2" w:space="0"/>
                    <w:right w:val="single" w:color="auto" w:sz="2" w:space="0"/>
                  </w:tcBorders>
                  <w:vAlign w:val="center"/>
                </w:tcPr>
                <w:p w14:paraId="73A5BCB5">
                  <w:pPr>
                    <w:pStyle w:val="42"/>
                    <w:rPr>
                      <w:color w:val="auto"/>
                    </w:rPr>
                  </w:pPr>
                  <w:r>
                    <w:rPr>
                      <w:color w:val="auto"/>
                    </w:rPr>
                    <w:t>33.1</w:t>
                  </w:r>
                </w:p>
              </w:tc>
              <w:tc>
                <w:tcPr>
                  <w:tcW w:w="915" w:type="dxa"/>
                  <w:tcBorders>
                    <w:top w:val="single" w:color="auto" w:sz="2" w:space="0"/>
                    <w:left w:val="single" w:color="auto" w:sz="2" w:space="0"/>
                    <w:bottom w:val="single" w:color="auto" w:sz="2" w:space="0"/>
                    <w:right w:val="single" w:color="auto" w:sz="2" w:space="0"/>
                  </w:tcBorders>
                  <w:vAlign w:val="center"/>
                </w:tcPr>
                <w:p w14:paraId="384565D0">
                  <w:pPr>
                    <w:pStyle w:val="42"/>
                    <w:rPr>
                      <w:color w:val="auto"/>
                    </w:rPr>
                  </w:pPr>
                  <w:r>
                    <w:rPr>
                      <w:color w:val="auto"/>
                    </w:rPr>
                    <w:t>40</w:t>
                  </w:r>
                </w:p>
              </w:tc>
              <w:tc>
                <w:tcPr>
                  <w:tcW w:w="914" w:type="dxa"/>
                  <w:tcBorders>
                    <w:top w:val="single" w:color="auto" w:sz="2" w:space="0"/>
                    <w:left w:val="single" w:color="auto" w:sz="2" w:space="0"/>
                    <w:bottom w:val="single" w:color="auto" w:sz="2" w:space="0"/>
                    <w:right w:val="nil"/>
                  </w:tcBorders>
                  <w:vAlign w:val="center"/>
                </w:tcPr>
                <w:p w14:paraId="595FB25B">
                  <w:pPr>
                    <w:pStyle w:val="42"/>
                    <w:rPr>
                      <w:color w:val="auto"/>
                    </w:rPr>
                  </w:pPr>
                  <w:r>
                    <w:rPr>
                      <w:color w:val="auto"/>
                    </w:rPr>
                    <w:t>82.75</w:t>
                  </w:r>
                </w:p>
              </w:tc>
            </w:tr>
            <w:tr w14:paraId="18DE18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vMerge w:val="continue"/>
                  <w:tcBorders>
                    <w:top w:val="single" w:color="auto" w:sz="2" w:space="0"/>
                    <w:left w:val="nil"/>
                    <w:bottom w:val="single" w:color="auto" w:sz="2" w:space="0"/>
                    <w:right w:val="single" w:color="auto" w:sz="2" w:space="0"/>
                  </w:tcBorders>
                  <w:vAlign w:val="center"/>
                </w:tcPr>
                <w:p w14:paraId="02A378A7">
                  <w:pPr>
                    <w:pStyle w:val="42"/>
                    <w:rPr>
                      <w:color w:val="auto"/>
                    </w:rPr>
                  </w:pPr>
                </w:p>
              </w:tc>
              <w:tc>
                <w:tcPr>
                  <w:tcW w:w="1846" w:type="dxa"/>
                  <w:tcBorders>
                    <w:top w:val="single" w:color="auto" w:sz="2" w:space="0"/>
                    <w:left w:val="single" w:color="auto" w:sz="2" w:space="0"/>
                    <w:bottom w:val="single" w:color="auto" w:sz="2" w:space="0"/>
                    <w:right w:val="single" w:color="auto" w:sz="2" w:space="0"/>
                  </w:tcBorders>
                  <w:vAlign w:val="center"/>
                </w:tcPr>
                <w:p w14:paraId="545858A9">
                  <w:pPr>
                    <w:pStyle w:val="42"/>
                    <w:rPr>
                      <w:color w:val="auto"/>
                    </w:rPr>
                  </w:pPr>
                  <w:r>
                    <w:rPr>
                      <w:color w:val="auto"/>
                    </w:rPr>
                    <w:t>PM</w:t>
                  </w:r>
                  <w:r>
                    <w:rPr>
                      <w:color w:val="auto"/>
                      <w:vertAlign w:val="subscript"/>
                    </w:rPr>
                    <w:t>10</w:t>
                  </w:r>
                </w:p>
              </w:tc>
              <w:tc>
                <w:tcPr>
                  <w:tcW w:w="1733" w:type="dxa"/>
                  <w:tcBorders>
                    <w:top w:val="single" w:color="auto" w:sz="2" w:space="0"/>
                    <w:left w:val="single" w:color="auto" w:sz="2" w:space="0"/>
                    <w:bottom w:val="single" w:color="auto" w:sz="2" w:space="0"/>
                    <w:right w:val="single" w:color="auto" w:sz="2" w:space="0"/>
                  </w:tcBorders>
                  <w:vAlign w:val="center"/>
                </w:tcPr>
                <w:p w14:paraId="5C4E3BDD">
                  <w:pPr>
                    <w:pStyle w:val="42"/>
                    <w:rPr>
                      <w:color w:val="auto"/>
                    </w:rPr>
                  </w:pPr>
                  <w:r>
                    <w:rPr>
                      <w:color w:val="auto"/>
                    </w:rPr>
                    <w:t>年平均质量浓度</w:t>
                  </w:r>
                </w:p>
              </w:tc>
              <w:tc>
                <w:tcPr>
                  <w:tcW w:w="1691" w:type="dxa"/>
                  <w:tcBorders>
                    <w:top w:val="single" w:color="auto" w:sz="2" w:space="0"/>
                    <w:left w:val="single" w:color="auto" w:sz="2" w:space="0"/>
                    <w:bottom w:val="single" w:color="auto" w:sz="2" w:space="0"/>
                    <w:right w:val="single" w:color="auto" w:sz="2" w:space="0"/>
                  </w:tcBorders>
                  <w:vAlign w:val="center"/>
                </w:tcPr>
                <w:p w14:paraId="405B706A">
                  <w:pPr>
                    <w:pStyle w:val="42"/>
                    <w:rPr>
                      <w:color w:val="auto"/>
                    </w:rPr>
                  </w:pPr>
                  <w:r>
                    <w:rPr>
                      <w:color w:val="auto"/>
                    </w:rPr>
                    <w:t>51.7</w:t>
                  </w:r>
                </w:p>
              </w:tc>
              <w:tc>
                <w:tcPr>
                  <w:tcW w:w="915" w:type="dxa"/>
                  <w:tcBorders>
                    <w:top w:val="single" w:color="auto" w:sz="2" w:space="0"/>
                    <w:left w:val="single" w:color="auto" w:sz="2" w:space="0"/>
                    <w:bottom w:val="single" w:color="auto" w:sz="2" w:space="0"/>
                    <w:right w:val="single" w:color="auto" w:sz="2" w:space="0"/>
                  </w:tcBorders>
                  <w:vAlign w:val="center"/>
                </w:tcPr>
                <w:p w14:paraId="0EF47844">
                  <w:pPr>
                    <w:pStyle w:val="42"/>
                    <w:rPr>
                      <w:color w:val="auto"/>
                    </w:rPr>
                  </w:pPr>
                  <w:r>
                    <w:rPr>
                      <w:color w:val="auto"/>
                    </w:rPr>
                    <w:t>70</w:t>
                  </w:r>
                </w:p>
              </w:tc>
              <w:tc>
                <w:tcPr>
                  <w:tcW w:w="914" w:type="dxa"/>
                  <w:tcBorders>
                    <w:top w:val="single" w:color="auto" w:sz="2" w:space="0"/>
                    <w:left w:val="single" w:color="auto" w:sz="2" w:space="0"/>
                    <w:bottom w:val="single" w:color="auto" w:sz="2" w:space="0"/>
                    <w:right w:val="nil"/>
                  </w:tcBorders>
                  <w:vAlign w:val="center"/>
                </w:tcPr>
                <w:p w14:paraId="53B66F71">
                  <w:pPr>
                    <w:pStyle w:val="42"/>
                    <w:rPr>
                      <w:color w:val="auto"/>
                    </w:rPr>
                  </w:pPr>
                  <w:r>
                    <w:rPr>
                      <w:color w:val="auto"/>
                    </w:rPr>
                    <w:t>73.86</w:t>
                  </w:r>
                </w:p>
              </w:tc>
            </w:tr>
            <w:tr w14:paraId="1CE313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vMerge w:val="continue"/>
                  <w:tcBorders>
                    <w:top w:val="single" w:color="auto" w:sz="2" w:space="0"/>
                    <w:left w:val="nil"/>
                    <w:bottom w:val="single" w:color="auto" w:sz="2" w:space="0"/>
                    <w:right w:val="single" w:color="auto" w:sz="2" w:space="0"/>
                  </w:tcBorders>
                  <w:vAlign w:val="center"/>
                </w:tcPr>
                <w:p w14:paraId="1B59B195">
                  <w:pPr>
                    <w:pStyle w:val="42"/>
                    <w:rPr>
                      <w:color w:val="auto"/>
                    </w:rPr>
                  </w:pPr>
                </w:p>
              </w:tc>
              <w:tc>
                <w:tcPr>
                  <w:tcW w:w="1846" w:type="dxa"/>
                  <w:tcBorders>
                    <w:top w:val="single" w:color="auto" w:sz="2" w:space="0"/>
                    <w:left w:val="single" w:color="auto" w:sz="2" w:space="0"/>
                    <w:bottom w:val="single" w:color="auto" w:sz="2" w:space="0"/>
                    <w:right w:val="single" w:color="auto" w:sz="2" w:space="0"/>
                  </w:tcBorders>
                  <w:vAlign w:val="center"/>
                </w:tcPr>
                <w:p w14:paraId="5AFE5607">
                  <w:pPr>
                    <w:pStyle w:val="42"/>
                    <w:rPr>
                      <w:color w:val="auto"/>
                    </w:rPr>
                  </w:pPr>
                  <w:r>
                    <w:rPr>
                      <w:color w:val="auto"/>
                    </w:rPr>
                    <w:t>PM</w:t>
                  </w:r>
                  <w:r>
                    <w:rPr>
                      <w:color w:val="auto"/>
                      <w:vertAlign w:val="subscript"/>
                    </w:rPr>
                    <w:t>2.5</w:t>
                  </w:r>
                </w:p>
              </w:tc>
              <w:tc>
                <w:tcPr>
                  <w:tcW w:w="1733" w:type="dxa"/>
                  <w:tcBorders>
                    <w:top w:val="single" w:color="auto" w:sz="2" w:space="0"/>
                    <w:left w:val="single" w:color="auto" w:sz="2" w:space="0"/>
                    <w:bottom w:val="single" w:color="auto" w:sz="2" w:space="0"/>
                    <w:right w:val="single" w:color="auto" w:sz="2" w:space="0"/>
                  </w:tcBorders>
                  <w:vAlign w:val="center"/>
                </w:tcPr>
                <w:p w14:paraId="6A372D85">
                  <w:pPr>
                    <w:pStyle w:val="42"/>
                    <w:rPr>
                      <w:color w:val="auto"/>
                    </w:rPr>
                  </w:pPr>
                  <w:r>
                    <w:rPr>
                      <w:color w:val="auto"/>
                    </w:rPr>
                    <w:t>年平均质量浓度</w:t>
                  </w:r>
                </w:p>
              </w:tc>
              <w:tc>
                <w:tcPr>
                  <w:tcW w:w="1691" w:type="dxa"/>
                  <w:tcBorders>
                    <w:top w:val="single" w:color="auto" w:sz="2" w:space="0"/>
                    <w:left w:val="single" w:color="auto" w:sz="2" w:space="0"/>
                    <w:bottom w:val="single" w:color="auto" w:sz="2" w:space="0"/>
                    <w:right w:val="single" w:color="auto" w:sz="2" w:space="0"/>
                  </w:tcBorders>
                  <w:vAlign w:val="center"/>
                </w:tcPr>
                <w:p w14:paraId="61DA457E">
                  <w:pPr>
                    <w:pStyle w:val="42"/>
                    <w:rPr>
                      <w:color w:val="auto"/>
                    </w:rPr>
                  </w:pPr>
                  <w:r>
                    <w:rPr>
                      <w:color w:val="auto"/>
                    </w:rPr>
                    <w:t>32</w:t>
                  </w:r>
                </w:p>
              </w:tc>
              <w:tc>
                <w:tcPr>
                  <w:tcW w:w="915" w:type="dxa"/>
                  <w:tcBorders>
                    <w:top w:val="single" w:color="auto" w:sz="2" w:space="0"/>
                    <w:left w:val="single" w:color="auto" w:sz="2" w:space="0"/>
                    <w:bottom w:val="single" w:color="auto" w:sz="2" w:space="0"/>
                    <w:right w:val="single" w:color="auto" w:sz="2" w:space="0"/>
                  </w:tcBorders>
                  <w:vAlign w:val="center"/>
                </w:tcPr>
                <w:p w14:paraId="0DA8EE7C">
                  <w:pPr>
                    <w:pStyle w:val="42"/>
                    <w:rPr>
                      <w:color w:val="auto"/>
                    </w:rPr>
                  </w:pPr>
                  <w:r>
                    <w:rPr>
                      <w:color w:val="auto"/>
                    </w:rPr>
                    <w:t>35</w:t>
                  </w:r>
                </w:p>
              </w:tc>
              <w:tc>
                <w:tcPr>
                  <w:tcW w:w="914" w:type="dxa"/>
                  <w:tcBorders>
                    <w:top w:val="single" w:color="auto" w:sz="2" w:space="0"/>
                    <w:left w:val="single" w:color="auto" w:sz="2" w:space="0"/>
                    <w:bottom w:val="single" w:color="auto" w:sz="2" w:space="0"/>
                    <w:right w:val="nil"/>
                  </w:tcBorders>
                  <w:vAlign w:val="center"/>
                </w:tcPr>
                <w:p w14:paraId="24D1BA41">
                  <w:pPr>
                    <w:pStyle w:val="42"/>
                    <w:rPr>
                      <w:color w:val="auto"/>
                    </w:rPr>
                  </w:pPr>
                  <w:r>
                    <w:rPr>
                      <w:color w:val="auto"/>
                    </w:rPr>
                    <w:t>91.43</w:t>
                  </w:r>
                </w:p>
              </w:tc>
            </w:tr>
            <w:tr w14:paraId="1F341CA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vMerge w:val="continue"/>
                  <w:tcBorders>
                    <w:top w:val="single" w:color="auto" w:sz="2" w:space="0"/>
                    <w:left w:val="nil"/>
                    <w:bottom w:val="single" w:color="auto" w:sz="2" w:space="0"/>
                    <w:right w:val="single" w:color="auto" w:sz="2" w:space="0"/>
                  </w:tcBorders>
                  <w:vAlign w:val="center"/>
                </w:tcPr>
                <w:p w14:paraId="4E787E51">
                  <w:pPr>
                    <w:pStyle w:val="42"/>
                    <w:rPr>
                      <w:color w:val="auto"/>
                    </w:rPr>
                  </w:pPr>
                </w:p>
              </w:tc>
              <w:tc>
                <w:tcPr>
                  <w:tcW w:w="1846" w:type="dxa"/>
                  <w:tcBorders>
                    <w:top w:val="single" w:color="auto" w:sz="2" w:space="0"/>
                    <w:left w:val="single" w:color="auto" w:sz="2" w:space="0"/>
                    <w:bottom w:val="single" w:color="auto" w:sz="2" w:space="0"/>
                    <w:right w:val="single" w:color="auto" w:sz="2" w:space="0"/>
                  </w:tcBorders>
                  <w:vAlign w:val="center"/>
                </w:tcPr>
                <w:p w14:paraId="7F92C8A8">
                  <w:pPr>
                    <w:pStyle w:val="42"/>
                    <w:rPr>
                      <w:color w:val="auto"/>
                    </w:rPr>
                  </w:pPr>
                  <w:r>
                    <w:rPr>
                      <w:color w:val="auto"/>
                    </w:rPr>
                    <w:t>CO</w:t>
                  </w:r>
                </w:p>
              </w:tc>
              <w:tc>
                <w:tcPr>
                  <w:tcW w:w="1733" w:type="dxa"/>
                  <w:tcBorders>
                    <w:top w:val="single" w:color="auto" w:sz="2" w:space="0"/>
                    <w:left w:val="single" w:color="auto" w:sz="2" w:space="0"/>
                    <w:bottom w:val="single" w:color="auto" w:sz="2" w:space="0"/>
                    <w:right w:val="single" w:color="auto" w:sz="2" w:space="0"/>
                  </w:tcBorders>
                  <w:vAlign w:val="center"/>
                </w:tcPr>
                <w:p w14:paraId="3D28D010">
                  <w:pPr>
                    <w:pStyle w:val="42"/>
                    <w:rPr>
                      <w:color w:val="auto"/>
                    </w:rPr>
                  </w:pPr>
                  <w:r>
                    <w:rPr>
                      <w:color w:val="auto"/>
                    </w:rPr>
                    <w:t>24小时平均浓度第95百分位数</w:t>
                  </w:r>
                </w:p>
              </w:tc>
              <w:tc>
                <w:tcPr>
                  <w:tcW w:w="1691" w:type="dxa"/>
                  <w:tcBorders>
                    <w:top w:val="single" w:color="auto" w:sz="2" w:space="0"/>
                    <w:left w:val="single" w:color="auto" w:sz="2" w:space="0"/>
                    <w:bottom w:val="single" w:color="auto" w:sz="2" w:space="0"/>
                    <w:right w:val="single" w:color="auto" w:sz="2" w:space="0"/>
                  </w:tcBorders>
                  <w:vAlign w:val="center"/>
                </w:tcPr>
                <w:p w14:paraId="61C2D98A">
                  <w:pPr>
                    <w:pStyle w:val="42"/>
                    <w:rPr>
                      <w:color w:val="auto"/>
                    </w:rPr>
                  </w:pPr>
                  <w:r>
                    <w:rPr>
                      <w:color w:val="auto"/>
                    </w:rPr>
                    <w:t>1134</w:t>
                  </w:r>
                </w:p>
              </w:tc>
              <w:tc>
                <w:tcPr>
                  <w:tcW w:w="915" w:type="dxa"/>
                  <w:tcBorders>
                    <w:top w:val="single" w:color="auto" w:sz="2" w:space="0"/>
                    <w:left w:val="single" w:color="auto" w:sz="2" w:space="0"/>
                    <w:bottom w:val="single" w:color="auto" w:sz="2" w:space="0"/>
                    <w:right w:val="single" w:color="auto" w:sz="2" w:space="0"/>
                  </w:tcBorders>
                  <w:vAlign w:val="center"/>
                </w:tcPr>
                <w:p w14:paraId="0B207A46">
                  <w:pPr>
                    <w:pStyle w:val="42"/>
                    <w:rPr>
                      <w:color w:val="auto"/>
                    </w:rPr>
                  </w:pPr>
                  <w:r>
                    <w:rPr>
                      <w:color w:val="auto"/>
                    </w:rPr>
                    <w:t>4000</w:t>
                  </w:r>
                </w:p>
              </w:tc>
              <w:tc>
                <w:tcPr>
                  <w:tcW w:w="914" w:type="dxa"/>
                  <w:tcBorders>
                    <w:top w:val="single" w:color="auto" w:sz="2" w:space="0"/>
                    <w:left w:val="single" w:color="auto" w:sz="2" w:space="0"/>
                    <w:bottom w:val="single" w:color="auto" w:sz="2" w:space="0"/>
                    <w:right w:val="nil"/>
                  </w:tcBorders>
                  <w:vAlign w:val="center"/>
                </w:tcPr>
                <w:p w14:paraId="77FF7B8F">
                  <w:pPr>
                    <w:pStyle w:val="42"/>
                    <w:rPr>
                      <w:color w:val="auto"/>
                    </w:rPr>
                  </w:pPr>
                  <w:r>
                    <w:rPr>
                      <w:color w:val="auto"/>
                    </w:rPr>
                    <w:t>28.35</w:t>
                  </w:r>
                </w:p>
              </w:tc>
            </w:tr>
            <w:tr w14:paraId="4347E0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dxa"/>
                  <w:vMerge w:val="continue"/>
                  <w:tcBorders>
                    <w:top w:val="single" w:color="auto" w:sz="2" w:space="0"/>
                    <w:left w:val="nil"/>
                    <w:bottom w:val="single" w:color="auto" w:sz="12" w:space="0"/>
                    <w:right w:val="single" w:color="auto" w:sz="2" w:space="0"/>
                  </w:tcBorders>
                  <w:vAlign w:val="center"/>
                </w:tcPr>
                <w:p w14:paraId="2D3B13BF">
                  <w:pPr>
                    <w:pStyle w:val="42"/>
                    <w:rPr>
                      <w:color w:val="auto"/>
                    </w:rPr>
                  </w:pPr>
                </w:p>
              </w:tc>
              <w:tc>
                <w:tcPr>
                  <w:tcW w:w="1846" w:type="dxa"/>
                  <w:tcBorders>
                    <w:top w:val="single" w:color="auto" w:sz="2" w:space="0"/>
                    <w:left w:val="single" w:color="auto" w:sz="2" w:space="0"/>
                    <w:bottom w:val="single" w:color="auto" w:sz="12" w:space="0"/>
                    <w:right w:val="single" w:color="auto" w:sz="2" w:space="0"/>
                  </w:tcBorders>
                  <w:vAlign w:val="center"/>
                </w:tcPr>
                <w:p w14:paraId="4E715642">
                  <w:pPr>
                    <w:pStyle w:val="42"/>
                    <w:rPr>
                      <w:color w:val="auto"/>
                    </w:rPr>
                  </w:pPr>
                  <w:r>
                    <w:rPr>
                      <w:color w:val="auto"/>
                    </w:rPr>
                    <w:t>O</w:t>
                  </w:r>
                  <w:r>
                    <w:rPr>
                      <w:color w:val="auto"/>
                      <w:vertAlign w:val="subscript"/>
                    </w:rPr>
                    <w:t>3</w:t>
                  </w:r>
                </w:p>
              </w:tc>
              <w:tc>
                <w:tcPr>
                  <w:tcW w:w="1733" w:type="dxa"/>
                  <w:tcBorders>
                    <w:top w:val="single" w:color="auto" w:sz="2" w:space="0"/>
                    <w:left w:val="single" w:color="auto" w:sz="2" w:space="0"/>
                    <w:bottom w:val="single" w:color="auto" w:sz="12" w:space="0"/>
                    <w:right w:val="single" w:color="auto" w:sz="2" w:space="0"/>
                  </w:tcBorders>
                  <w:vAlign w:val="center"/>
                </w:tcPr>
                <w:p w14:paraId="6D0713F1">
                  <w:pPr>
                    <w:pStyle w:val="42"/>
                    <w:rPr>
                      <w:color w:val="auto"/>
                    </w:rPr>
                  </w:pPr>
                  <w:r>
                    <w:rPr>
                      <w:color w:val="auto"/>
                    </w:rPr>
                    <w:t>日最大8小时滑动平均值的第90百分位数</w:t>
                  </w:r>
                </w:p>
              </w:tc>
              <w:tc>
                <w:tcPr>
                  <w:tcW w:w="1691" w:type="dxa"/>
                  <w:tcBorders>
                    <w:top w:val="single" w:color="auto" w:sz="2" w:space="0"/>
                    <w:left w:val="single" w:color="auto" w:sz="2" w:space="0"/>
                    <w:bottom w:val="single" w:color="auto" w:sz="12" w:space="0"/>
                    <w:right w:val="single" w:color="auto" w:sz="2" w:space="0"/>
                  </w:tcBorders>
                  <w:vAlign w:val="center"/>
                </w:tcPr>
                <w:p w14:paraId="4394E8F4">
                  <w:pPr>
                    <w:pStyle w:val="42"/>
                    <w:rPr>
                      <w:color w:val="auto"/>
                    </w:rPr>
                  </w:pPr>
                  <w:r>
                    <w:rPr>
                      <w:color w:val="auto"/>
                    </w:rPr>
                    <w:t>162</w:t>
                  </w:r>
                </w:p>
              </w:tc>
              <w:tc>
                <w:tcPr>
                  <w:tcW w:w="915" w:type="dxa"/>
                  <w:tcBorders>
                    <w:top w:val="single" w:color="auto" w:sz="2" w:space="0"/>
                    <w:left w:val="single" w:color="auto" w:sz="2" w:space="0"/>
                    <w:bottom w:val="single" w:color="auto" w:sz="12" w:space="0"/>
                    <w:right w:val="single" w:color="auto" w:sz="2" w:space="0"/>
                  </w:tcBorders>
                  <w:vAlign w:val="center"/>
                </w:tcPr>
                <w:p w14:paraId="42B9C1C4">
                  <w:pPr>
                    <w:pStyle w:val="42"/>
                    <w:rPr>
                      <w:color w:val="auto"/>
                    </w:rPr>
                  </w:pPr>
                  <w:r>
                    <w:rPr>
                      <w:color w:val="auto"/>
                    </w:rPr>
                    <w:t>160</w:t>
                  </w:r>
                </w:p>
              </w:tc>
              <w:tc>
                <w:tcPr>
                  <w:tcW w:w="914" w:type="dxa"/>
                  <w:tcBorders>
                    <w:top w:val="single" w:color="auto" w:sz="2" w:space="0"/>
                    <w:left w:val="single" w:color="auto" w:sz="2" w:space="0"/>
                    <w:bottom w:val="single" w:color="auto" w:sz="12" w:space="0"/>
                    <w:right w:val="nil"/>
                  </w:tcBorders>
                  <w:vAlign w:val="center"/>
                </w:tcPr>
                <w:p w14:paraId="6B4B4FF8">
                  <w:pPr>
                    <w:pStyle w:val="42"/>
                    <w:rPr>
                      <w:color w:val="auto"/>
                    </w:rPr>
                  </w:pPr>
                  <w:r>
                    <w:rPr>
                      <w:color w:val="auto"/>
                    </w:rPr>
                    <w:t>101.25</w:t>
                  </w:r>
                </w:p>
              </w:tc>
            </w:tr>
          </w:tbl>
          <w:p w14:paraId="376EB971">
            <w:pPr>
              <w:ind w:firstLine="480"/>
              <w:rPr>
                <w:color w:val="auto"/>
                <w:szCs w:val="24"/>
              </w:rPr>
            </w:pPr>
            <w:r>
              <w:rPr>
                <w:color w:val="auto"/>
                <w:szCs w:val="24"/>
              </w:rPr>
              <w:t>根据上表，2024年江阴市SO</w:t>
            </w:r>
            <w:r>
              <w:rPr>
                <w:color w:val="auto"/>
                <w:szCs w:val="24"/>
                <w:vertAlign w:val="subscript"/>
              </w:rPr>
              <w:t>2</w:t>
            </w:r>
            <w:r>
              <w:rPr>
                <w:color w:val="auto"/>
                <w:szCs w:val="24"/>
              </w:rPr>
              <w:t>、NO</w:t>
            </w:r>
            <w:r>
              <w:rPr>
                <w:color w:val="auto"/>
                <w:szCs w:val="24"/>
                <w:vertAlign w:val="subscript"/>
              </w:rPr>
              <w:t>2</w:t>
            </w:r>
            <w:r>
              <w:rPr>
                <w:color w:val="auto"/>
                <w:szCs w:val="24"/>
              </w:rPr>
              <w:t>、PM</w:t>
            </w:r>
            <w:r>
              <w:rPr>
                <w:color w:val="auto"/>
                <w:szCs w:val="24"/>
                <w:vertAlign w:val="subscript"/>
              </w:rPr>
              <w:t>10</w:t>
            </w:r>
            <w:r>
              <w:rPr>
                <w:color w:val="auto"/>
                <w:szCs w:val="24"/>
              </w:rPr>
              <w:t>、PM</w:t>
            </w:r>
            <w:r>
              <w:rPr>
                <w:color w:val="auto"/>
                <w:szCs w:val="24"/>
                <w:vertAlign w:val="subscript"/>
              </w:rPr>
              <w:t>2.5</w:t>
            </w:r>
            <w:r>
              <w:rPr>
                <w:color w:val="auto"/>
                <w:szCs w:val="24"/>
              </w:rPr>
              <w:t>年平均浓度、CO24小时平均浓度均能满足《环境空气质量标准》（GB3095-2012）表1中二级标准要求；O</w:t>
            </w:r>
            <w:r>
              <w:rPr>
                <w:color w:val="auto"/>
                <w:szCs w:val="24"/>
                <w:vertAlign w:val="subscript"/>
              </w:rPr>
              <w:t>3</w:t>
            </w:r>
            <w:r>
              <w:rPr>
                <w:color w:val="auto"/>
                <w:szCs w:val="24"/>
              </w:rPr>
              <w:t>日最大8小时滑动平均值浓度超过《环境空气质量标准》（GB3095-2012）表1中二级标准要求，项目所在地属于不达标区。</w:t>
            </w:r>
          </w:p>
          <w:p w14:paraId="2DCD0143">
            <w:pPr>
              <w:ind w:firstLine="480"/>
              <w:rPr>
                <w:color w:val="auto"/>
                <w:szCs w:val="24"/>
              </w:rPr>
            </w:pPr>
            <w:r>
              <w:rPr>
                <w:color w:val="auto"/>
                <w:szCs w:val="24"/>
              </w:rPr>
              <w:t>针对该地区环境空气质量现状，无锡市已制定《无锡市大气环境质量限期达标规划（2018-2025年）》，力争到2025年，无锡市PM</w:t>
            </w:r>
            <w:r>
              <w:rPr>
                <w:color w:val="auto"/>
                <w:szCs w:val="24"/>
                <w:vertAlign w:val="subscript"/>
              </w:rPr>
              <w:t>10</w:t>
            </w:r>
            <w:r>
              <w:rPr>
                <w:color w:val="auto"/>
                <w:szCs w:val="24"/>
              </w:rPr>
              <w:t>浓度达到35µg/m</w:t>
            </w:r>
            <w:r>
              <w:rPr>
                <w:color w:val="auto"/>
                <w:szCs w:val="24"/>
                <w:vertAlign w:val="superscript"/>
              </w:rPr>
              <w:t>3</w:t>
            </w:r>
            <w:r>
              <w:rPr>
                <w:color w:val="auto"/>
                <w:szCs w:val="24"/>
              </w:rPr>
              <w:t>；O</w:t>
            </w:r>
            <w:r>
              <w:rPr>
                <w:color w:val="auto"/>
                <w:szCs w:val="24"/>
                <w:vertAlign w:val="subscript"/>
              </w:rPr>
              <w:t>3</w:t>
            </w:r>
            <w:r>
              <w:rPr>
                <w:color w:val="auto"/>
                <w:szCs w:val="24"/>
              </w:rPr>
              <w:t>浓度达到拐点，除O</w:t>
            </w:r>
            <w:r>
              <w:rPr>
                <w:color w:val="auto"/>
                <w:szCs w:val="24"/>
                <w:vertAlign w:val="subscript"/>
              </w:rPr>
              <w:t>3</w:t>
            </w:r>
            <w:r>
              <w:rPr>
                <w:color w:val="auto"/>
                <w:szCs w:val="24"/>
              </w:rPr>
              <w:t>以外的主要大气污染物浓度达到国家二级标准要求，空气质量优良天数比率达到80%。根据达标规划，无锡市环境空气质量在2025年实现基本达标。同时，当地政府已出具了大气环境整治方案，从以下几方面入手：①推动铸造、水泥等重点行业提标整治，强化源头替代、深度治理、无组织排放管理等工作；②持续做好重污染天气应急响应工作，完成上级制定的阶段性空气质量改善目标：③加大餐饮业油烟治理力度，完成10家500平米以上餐饮油烟在线监控设施建设和联网；④重点做好垃圾、秸秆禁烧的宣传和管理，严格落实禁烧主体责任；加强秸秆综合利用的指导和帮扶；①充分依托网格化管理，开展秸秆禁烧专项巡查等，具体见附件。预计经过上述整顿措施后，项目所在区域环境空气质量可以明显改善。</w:t>
            </w:r>
          </w:p>
          <w:p w14:paraId="2CB63FAF">
            <w:pPr>
              <w:ind w:firstLine="480"/>
              <w:rPr>
                <w:color w:val="auto"/>
              </w:rPr>
            </w:pPr>
            <w:r>
              <w:rPr>
                <w:color w:val="auto"/>
              </w:rPr>
              <w:t>青阳镇已经出具《2024年青阳大气整治方案》，方案指出：力争全镇PM2.5浓度和优良天数比率达到江阴市空气质量约束性目标，</w:t>
            </w:r>
            <w:r>
              <w:rPr>
                <w:rFonts w:hint="eastAsia"/>
                <w:color w:val="auto"/>
              </w:rPr>
              <w:t>PM</w:t>
            </w:r>
            <w:r>
              <w:rPr>
                <w:rFonts w:hint="eastAsia"/>
                <w:color w:val="auto"/>
                <w:vertAlign w:val="subscript"/>
              </w:rPr>
              <w:t>2.5</w:t>
            </w:r>
            <w:r>
              <w:rPr>
                <w:rFonts w:hint="eastAsia"/>
                <w:color w:val="auto"/>
              </w:rPr>
              <w:t>浓度目标不高于31微克/立方米，优良天数比率保持在80%以上；PM</w:t>
            </w:r>
            <w:r>
              <w:rPr>
                <w:rFonts w:hint="eastAsia"/>
                <w:color w:val="auto"/>
                <w:vertAlign w:val="subscript"/>
              </w:rPr>
              <w:t>10</w:t>
            </w:r>
            <w:r>
              <w:rPr>
                <w:rFonts w:hint="eastAsia"/>
                <w:color w:val="auto"/>
              </w:rPr>
              <w:t>、N</w:t>
            </w:r>
            <w:r>
              <w:rPr>
                <w:color w:val="auto"/>
              </w:rPr>
              <w:t>O</w:t>
            </w:r>
            <w:r>
              <w:rPr>
                <w:rFonts w:hint="eastAsia"/>
                <w:color w:val="auto"/>
                <w:vertAlign w:val="subscript"/>
              </w:rPr>
              <w:t>2</w:t>
            </w:r>
            <w:r>
              <w:rPr>
                <w:rFonts w:hint="eastAsia"/>
                <w:color w:val="auto"/>
              </w:rPr>
              <w:t>、</w:t>
            </w:r>
            <w:r>
              <w:rPr>
                <w:color w:val="auto"/>
              </w:rPr>
              <w:t>O</w:t>
            </w:r>
            <w:r>
              <w:rPr>
                <w:rFonts w:hint="eastAsia"/>
                <w:color w:val="auto"/>
                <w:vertAlign w:val="subscript"/>
              </w:rPr>
              <w:t>3</w:t>
            </w:r>
            <w:r>
              <w:rPr>
                <w:rFonts w:hint="eastAsia"/>
                <w:color w:val="auto"/>
              </w:rPr>
              <w:t>年平均浓度同比下降。</w:t>
            </w:r>
            <w:r>
              <w:rPr>
                <w:color w:val="auto"/>
              </w:rPr>
              <w:t>重污染天数、降尘量年均值等指标完成市下达目标任务，臭氧污染得到初步遏制，深入打好蓝天保卫战。</w:t>
            </w:r>
          </w:p>
          <w:p w14:paraId="66B5D5F8">
            <w:pPr>
              <w:ind w:firstLine="480"/>
              <w:rPr>
                <w:color w:val="auto"/>
              </w:rPr>
            </w:pPr>
            <w:r>
              <w:rPr>
                <w:color w:val="auto"/>
              </w:rPr>
              <w:t>强化工业园区、产业集群整治，推进大气污染治理工程任务共74项，主要有水泥行业深度治理1家，储罐VOCs废气治理或“回头看”6家，铸造行业新一轮提标整治17家，涉活性炭治理设施企业闭环管理33家，涉燃烧法企业闭环管理11家，涉喷漆汽修行业全水性源头替代2家，低效治理设施整治“回头看”1家，玻璃行业大气污染综合治理2家。</w:t>
            </w:r>
          </w:p>
          <w:p w14:paraId="1262D2C5">
            <w:pPr>
              <w:ind w:firstLine="480"/>
              <w:rPr>
                <w:color w:val="auto"/>
                <w:szCs w:val="24"/>
              </w:rPr>
            </w:pPr>
            <w:r>
              <w:rPr>
                <w:color w:val="auto"/>
              </w:rPr>
              <w:t>通过上述措施，本项目所在区域大气环境质量可进一步改善。</w:t>
            </w:r>
          </w:p>
          <w:p w14:paraId="743C85BD">
            <w:pPr>
              <w:pStyle w:val="44"/>
              <w:adjustRightInd w:val="0"/>
              <w:snapToGrid w:val="0"/>
              <w:ind w:firstLine="482"/>
              <w:rPr>
                <w:b/>
                <w:bCs/>
                <w:color w:val="auto"/>
                <w:szCs w:val="24"/>
              </w:rPr>
            </w:pPr>
            <w:r>
              <w:rPr>
                <w:b/>
                <w:bCs/>
                <w:color w:val="auto"/>
                <w:szCs w:val="24"/>
              </w:rPr>
              <w:t>2、地表水</w:t>
            </w:r>
          </w:p>
          <w:p w14:paraId="50E38A03">
            <w:pPr>
              <w:ind w:firstLine="480"/>
              <w:rPr>
                <w:color w:val="auto"/>
              </w:rPr>
            </w:pPr>
            <w:r>
              <w:rPr>
                <w:color w:val="auto"/>
              </w:rPr>
              <w:t>根据《建设项目环境影响报告表编制技术指南（污染影响类）》（2021年试行），引用与建设项目距离近的有效数据，包括近3年的规划环境影响评价的监测数据，所在流域控制单元内国家、地方控制断面监测数据，生态环境主管部门发布的水环境质量数据或地表水达标情况的结论。</w:t>
            </w:r>
          </w:p>
          <w:p w14:paraId="443273B9">
            <w:pPr>
              <w:ind w:firstLine="480"/>
              <w:rPr>
                <w:color w:val="auto"/>
              </w:rPr>
            </w:pPr>
            <w:r>
              <w:rPr>
                <w:color w:val="auto"/>
              </w:rPr>
              <w:t>本项目纳污河流为锡澄运河，根据《2024年度江阴市生态环境状况公报》，2024年，全市16条主要河流共设置地表水重点监测断面22个，其中Ⅱ类水质断面13个，Ⅲ类水质断面9个，无Ⅳ类、Ⅴ类和劣Ⅴ类水质断面。与2023年相比，总体水质变好，Ⅱ类断面比例上升4.6个百分点。</w:t>
            </w:r>
          </w:p>
          <w:p w14:paraId="5E8E69DB">
            <w:pPr>
              <w:ind w:firstLine="480"/>
              <w:rPr>
                <w:color w:val="auto"/>
                <w:szCs w:val="24"/>
              </w:rPr>
            </w:pPr>
            <w:r>
              <w:rPr>
                <w:color w:val="auto"/>
              </w:rPr>
              <w:t>16条重点河流中，长江、应天河、桃花港、石牌港、申港河、利港河、</w:t>
            </w:r>
            <w:r>
              <w:rPr>
                <w:color w:val="auto"/>
                <w:szCs w:val="24"/>
              </w:rPr>
              <w:t>老夏港河、新夏港河、白屈港、锡澄运河、新沟河等11条河流水质状况为优；东横河、东清河、二干河、青祝运河、张家港河等5条河流水质状况为良好。与2023年相比，2024年全市16条重点河流中，白屈港、锡澄运河、新沟河、新夏港河水质由良好转为优；本项目纳污河流锡澄运河水质为优。</w:t>
            </w:r>
          </w:p>
          <w:p w14:paraId="187FD4BF">
            <w:pPr>
              <w:pStyle w:val="44"/>
              <w:ind w:firstLine="482"/>
              <w:rPr>
                <w:b/>
                <w:bCs/>
                <w:color w:val="auto"/>
                <w:szCs w:val="24"/>
              </w:rPr>
            </w:pPr>
            <w:r>
              <w:rPr>
                <w:b/>
                <w:bCs/>
                <w:color w:val="auto"/>
                <w:szCs w:val="24"/>
              </w:rPr>
              <w:t>3、声环境</w:t>
            </w:r>
          </w:p>
          <w:p w14:paraId="7B116339">
            <w:pPr>
              <w:pStyle w:val="44"/>
              <w:ind w:firstLine="480"/>
              <w:rPr>
                <w:color w:val="auto"/>
                <w:szCs w:val="24"/>
              </w:rPr>
            </w:pPr>
            <w:r>
              <w:rPr>
                <w:color w:val="auto"/>
              </w:rPr>
              <w:t>本项目位于无锡市江阴市青阳镇振阳路122号科创微城8号，根据《江阴市声环境功能区划分调整方案》</w:t>
            </w:r>
            <w:r>
              <w:rPr>
                <w:rFonts w:hint="eastAsia"/>
                <w:color w:val="auto"/>
                <w:lang w:eastAsia="zh-CN"/>
              </w:rPr>
              <w:t>（澄政办发〔2020〕71号）</w:t>
            </w:r>
            <w:r>
              <w:rPr>
                <w:color w:val="auto"/>
              </w:rPr>
              <w:t>，项目所在区域声环境功能区划分为《声环境质量标准》(GB3096-2008)3类区，本项目建设地环境噪声执行《声环境质量标准》(GB3096-2008)中3类标准。且项目周边50m范围内无声环境敏感目标。</w:t>
            </w:r>
            <w:r>
              <w:rPr>
                <w:color w:val="auto"/>
                <w:szCs w:val="24"/>
              </w:rPr>
              <w:t>根据无锡市江阴生态环境局发布的《2024年度江阴市生态环境状况公报》，</w:t>
            </w:r>
            <w:r>
              <w:rPr>
                <w:rFonts w:hint="eastAsia"/>
                <w:color w:val="auto"/>
                <w:szCs w:val="24"/>
              </w:rPr>
              <w:t>2024年全市昼间和夜间声环境质量基本保持稳定，声环境质量总体较好。全市城区区域声环境质量昼间平均等效声级为54.3dB（A），昼间声环境质量等级为二级（较好）。影响城全市区声环境质量的主要声源是生活噪声和交通噪声，所占比例分别为53.9%、30.4%；其余依次为工业噪声和施工噪声，所占比例分别为8.8%、6.9%。从声源强度来看，从高到低依次为交通噪声（56.3dB（A））、施工噪声（55.0dB（A））、工业噪声（54.7dB（A））、生活噪声（53.0dB（A））。与2023年相比，2024年交通噪声声源强度下降0.8dB（A）；工业噪声、生活噪声、施工噪声声源强度均略有上升。2024年，全市城区功能区噪声达标率为95.3%，昼间、夜间环境噪声监测达标率分别为100%、90.6%。昼间、夜间环境噪声监测达标率均有所上升</w:t>
            </w:r>
            <w:r>
              <w:rPr>
                <w:color w:val="auto"/>
                <w:szCs w:val="24"/>
              </w:rPr>
              <w:t>。</w:t>
            </w:r>
          </w:p>
          <w:p w14:paraId="6518789E">
            <w:pPr>
              <w:pStyle w:val="44"/>
              <w:adjustRightInd w:val="0"/>
              <w:snapToGrid w:val="0"/>
              <w:ind w:left="-300" w:firstLine="723" w:firstLineChars="300"/>
              <w:rPr>
                <w:rStyle w:val="45"/>
                <w:b/>
                <w:bCs/>
                <w:color w:val="auto"/>
                <w:szCs w:val="24"/>
              </w:rPr>
            </w:pPr>
            <w:r>
              <w:rPr>
                <w:b/>
                <w:bCs/>
                <w:color w:val="auto"/>
                <w:szCs w:val="24"/>
              </w:rPr>
              <w:t>4、</w:t>
            </w:r>
            <w:r>
              <w:rPr>
                <w:rStyle w:val="45"/>
                <w:b/>
                <w:bCs/>
                <w:color w:val="auto"/>
                <w:szCs w:val="24"/>
              </w:rPr>
              <w:t>生态环境</w:t>
            </w:r>
          </w:p>
          <w:p w14:paraId="76D8296D">
            <w:pPr>
              <w:pStyle w:val="44"/>
              <w:adjustRightInd w:val="0"/>
              <w:snapToGrid w:val="0"/>
              <w:ind w:firstLine="480"/>
              <w:rPr>
                <w:rStyle w:val="45"/>
                <w:color w:val="auto"/>
                <w:szCs w:val="24"/>
              </w:rPr>
            </w:pPr>
            <w:r>
              <w:rPr>
                <w:color w:val="auto"/>
                <w:szCs w:val="24"/>
              </w:rPr>
              <w:t>本项目位于工业园区内，用地范围内无生态环境保护目标，故不进行生态现状调查</w:t>
            </w:r>
            <w:r>
              <w:rPr>
                <w:rStyle w:val="45"/>
                <w:color w:val="auto"/>
                <w:szCs w:val="24"/>
              </w:rPr>
              <w:t>。</w:t>
            </w:r>
          </w:p>
          <w:p w14:paraId="5DBA273E">
            <w:pPr>
              <w:pStyle w:val="44"/>
              <w:adjustRightInd w:val="0"/>
              <w:snapToGrid w:val="0"/>
              <w:ind w:left="-300" w:firstLine="723" w:firstLineChars="300"/>
              <w:rPr>
                <w:rStyle w:val="45"/>
                <w:b/>
                <w:bCs/>
                <w:color w:val="auto"/>
                <w:szCs w:val="24"/>
              </w:rPr>
            </w:pPr>
            <w:r>
              <w:rPr>
                <w:b/>
                <w:bCs/>
                <w:color w:val="auto"/>
                <w:szCs w:val="24"/>
              </w:rPr>
              <w:t>5、</w:t>
            </w:r>
            <w:r>
              <w:rPr>
                <w:rStyle w:val="45"/>
                <w:b/>
                <w:bCs/>
                <w:color w:val="auto"/>
                <w:szCs w:val="24"/>
              </w:rPr>
              <w:t>电磁辐射</w:t>
            </w:r>
          </w:p>
          <w:p w14:paraId="49805E0C">
            <w:pPr>
              <w:adjustRightInd w:val="0"/>
              <w:snapToGrid w:val="0"/>
              <w:ind w:firstLine="480"/>
              <w:rPr>
                <w:color w:val="auto"/>
                <w:szCs w:val="24"/>
              </w:rPr>
            </w:pPr>
            <w:r>
              <w:rPr>
                <w:color w:val="auto"/>
                <w:szCs w:val="24"/>
              </w:rPr>
              <w:t>本项目不涉及放射性同位素和伴有电磁辐射的设施的使用，故不开展电磁辐射现状监测和评价。</w:t>
            </w:r>
          </w:p>
          <w:p w14:paraId="6B24EFF4">
            <w:pPr>
              <w:pStyle w:val="44"/>
              <w:adjustRightInd w:val="0"/>
              <w:snapToGrid w:val="0"/>
              <w:ind w:left="-300" w:firstLine="723" w:firstLineChars="300"/>
              <w:rPr>
                <w:b/>
                <w:bCs/>
                <w:color w:val="auto"/>
                <w:szCs w:val="24"/>
              </w:rPr>
            </w:pPr>
          </w:p>
          <w:p w14:paraId="1BCCD710">
            <w:pPr>
              <w:pStyle w:val="44"/>
              <w:adjustRightInd w:val="0"/>
              <w:snapToGrid w:val="0"/>
              <w:ind w:left="-300" w:firstLine="723" w:firstLineChars="300"/>
              <w:rPr>
                <w:b/>
                <w:bCs/>
                <w:color w:val="auto"/>
                <w:szCs w:val="24"/>
              </w:rPr>
            </w:pPr>
          </w:p>
          <w:p w14:paraId="5CA4DB1C">
            <w:pPr>
              <w:pStyle w:val="44"/>
              <w:adjustRightInd w:val="0"/>
              <w:snapToGrid w:val="0"/>
              <w:ind w:left="-300" w:firstLine="723" w:firstLineChars="300"/>
              <w:rPr>
                <w:rStyle w:val="45"/>
                <w:b/>
                <w:bCs/>
                <w:color w:val="auto"/>
                <w:szCs w:val="24"/>
              </w:rPr>
            </w:pPr>
            <w:r>
              <w:rPr>
                <w:b/>
                <w:bCs/>
                <w:color w:val="auto"/>
                <w:szCs w:val="24"/>
              </w:rPr>
              <w:t>6、</w:t>
            </w:r>
            <w:r>
              <w:rPr>
                <w:rStyle w:val="45"/>
                <w:b/>
                <w:bCs/>
                <w:color w:val="auto"/>
                <w:szCs w:val="24"/>
              </w:rPr>
              <w:t>地下水、土壤环境</w:t>
            </w:r>
          </w:p>
          <w:p w14:paraId="3B769877">
            <w:pPr>
              <w:pStyle w:val="44"/>
              <w:adjustRightInd w:val="0"/>
              <w:snapToGrid w:val="0"/>
              <w:ind w:firstLine="480"/>
              <w:rPr>
                <w:color w:val="auto"/>
              </w:rPr>
            </w:pPr>
            <w:r>
              <w:rPr>
                <w:color w:val="auto"/>
                <w:szCs w:val="24"/>
              </w:rPr>
              <w:t>本项目场地已硬化，做好防腐防渗措施，</w:t>
            </w:r>
            <w:r>
              <w:rPr>
                <w:rFonts w:hint="eastAsia"/>
                <w:color w:val="auto"/>
                <w:szCs w:val="24"/>
              </w:rPr>
              <w:t>正常工况下</w:t>
            </w:r>
            <w:r>
              <w:rPr>
                <w:color w:val="auto"/>
                <w:szCs w:val="24"/>
              </w:rPr>
              <w:t>不存在地下水、土壤环境污染途径，因此不开展地下水、土壤现状评价。</w:t>
            </w:r>
          </w:p>
        </w:tc>
      </w:tr>
      <w:tr w14:paraId="11F27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2" w:hRule="atLeast"/>
          <w:jc w:val="center"/>
        </w:trPr>
        <w:tc>
          <w:tcPr>
            <w:tcW w:w="323" w:type="pct"/>
            <w:vAlign w:val="center"/>
          </w:tcPr>
          <w:p w14:paraId="274868F3">
            <w:pPr>
              <w:pStyle w:val="42"/>
              <w:rPr>
                <w:color w:val="auto"/>
                <w:kern w:val="0"/>
              </w:rPr>
            </w:pPr>
            <w:r>
              <w:rPr>
                <w:color w:val="auto"/>
                <w:sz w:val="24"/>
                <w:szCs w:val="24"/>
              </w:rPr>
              <w:t>环境保护目标</w:t>
            </w:r>
          </w:p>
        </w:tc>
        <w:tc>
          <w:tcPr>
            <w:tcW w:w="4676" w:type="pct"/>
            <w:vAlign w:val="center"/>
          </w:tcPr>
          <w:p w14:paraId="1FEEF3C4">
            <w:pPr>
              <w:pStyle w:val="44"/>
              <w:numPr>
                <w:ilvl w:val="0"/>
                <w:numId w:val="3"/>
              </w:numPr>
              <w:ind w:firstLine="480"/>
              <w:rPr>
                <w:color w:val="auto"/>
                <w:szCs w:val="24"/>
              </w:rPr>
            </w:pPr>
            <w:r>
              <w:rPr>
                <w:color w:val="auto"/>
                <w:szCs w:val="24"/>
              </w:rPr>
              <w:t>大气环境：厂界外500m范围内无大气自动监测站点</w:t>
            </w:r>
            <w:r>
              <w:rPr>
                <w:rFonts w:hint="eastAsia"/>
                <w:color w:val="auto"/>
                <w:szCs w:val="24"/>
              </w:rPr>
              <w:t>及</w:t>
            </w:r>
            <w:r>
              <w:rPr>
                <w:color w:val="auto"/>
                <w:szCs w:val="24"/>
              </w:rPr>
              <w:t>敏感目标。</w:t>
            </w:r>
          </w:p>
          <w:p w14:paraId="72A01212">
            <w:pPr>
              <w:adjustRightInd w:val="0"/>
              <w:snapToGrid w:val="0"/>
              <w:ind w:firstLine="420"/>
              <w:rPr>
                <w:color w:val="auto"/>
                <w:szCs w:val="24"/>
              </w:rPr>
            </w:pPr>
            <w:r>
              <w:rPr>
                <w:color w:val="auto"/>
                <w:szCs w:val="24"/>
              </w:rPr>
              <w:t>（2）声环境：本项目厂界50m范围内无声环境保护目标。</w:t>
            </w:r>
          </w:p>
          <w:p w14:paraId="01E228D1">
            <w:pPr>
              <w:adjustRightInd w:val="0"/>
              <w:snapToGrid w:val="0"/>
              <w:ind w:firstLine="480"/>
              <w:rPr>
                <w:color w:val="auto"/>
                <w:szCs w:val="24"/>
              </w:rPr>
            </w:pPr>
            <w:r>
              <w:rPr>
                <w:color w:val="auto"/>
                <w:szCs w:val="24"/>
              </w:rPr>
              <w:t>（3）地下水</w:t>
            </w:r>
            <w:r>
              <w:rPr>
                <w:rFonts w:hint="eastAsia"/>
                <w:color w:val="auto"/>
                <w:szCs w:val="24"/>
              </w:rPr>
              <w:t>、土壤</w:t>
            </w:r>
            <w:r>
              <w:rPr>
                <w:color w:val="auto"/>
                <w:szCs w:val="24"/>
              </w:rPr>
              <w:t>环境：本项目厂界外500米范围内无地下水集中式饮用水水源、热水、矿泉水、温泉等特殊地下水资源。本项目厂界外200米范围内无耕地、园地、牧草地、饮用水水源地或居民区、学校、医院、疗养院、养老院等土壤环境敏感目标。</w:t>
            </w:r>
          </w:p>
          <w:p w14:paraId="5C44792B">
            <w:pPr>
              <w:adjustRightInd w:val="0"/>
              <w:snapToGrid w:val="0"/>
              <w:ind w:firstLine="480"/>
              <w:rPr>
                <w:color w:val="auto"/>
                <w:szCs w:val="24"/>
              </w:rPr>
            </w:pPr>
            <w:r>
              <w:rPr>
                <w:color w:val="auto"/>
                <w:szCs w:val="24"/>
              </w:rPr>
              <w:t>（4）生态环境：本项目不属于产业园区外新增用地的，不涉及生态环境保护目标。</w:t>
            </w:r>
          </w:p>
          <w:p w14:paraId="12F5C963">
            <w:pPr>
              <w:pStyle w:val="13"/>
              <w:ind w:left="0" w:leftChars="0" w:right="1680" w:firstLine="420"/>
              <w:rPr>
                <w:color w:val="auto"/>
              </w:rPr>
            </w:pPr>
          </w:p>
          <w:p w14:paraId="7A3BA8E3">
            <w:pPr>
              <w:pStyle w:val="13"/>
              <w:ind w:left="0" w:leftChars="0" w:right="1680" w:firstLine="480"/>
              <w:rPr>
                <w:color w:val="auto"/>
              </w:rPr>
            </w:pPr>
          </w:p>
          <w:p w14:paraId="5DCB0912">
            <w:pPr>
              <w:pStyle w:val="13"/>
              <w:ind w:left="0" w:leftChars="0" w:right="1680" w:firstLine="480"/>
              <w:rPr>
                <w:color w:val="auto"/>
              </w:rPr>
            </w:pPr>
          </w:p>
          <w:p w14:paraId="5127D413">
            <w:pPr>
              <w:pStyle w:val="13"/>
              <w:ind w:left="0" w:leftChars="0" w:right="1680" w:firstLine="480"/>
              <w:rPr>
                <w:color w:val="auto"/>
              </w:rPr>
            </w:pPr>
          </w:p>
          <w:p w14:paraId="7FFFC340">
            <w:pPr>
              <w:pStyle w:val="13"/>
              <w:ind w:left="0" w:leftChars="0" w:right="1680" w:firstLine="0" w:firstLineChars="0"/>
              <w:rPr>
                <w:color w:val="auto"/>
              </w:rPr>
            </w:pPr>
          </w:p>
        </w:tc>
      </w:tr>
      <w:tr w14:paraId="06A1C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39" w:hRule="atLeast"/>
          <w:jc w:val="center"/>
        </w:trPr>
        <w:tc>
          <w:tcPr>
            <w:tcW w:w="323" w:type="pct"/>
            <w:vAlign w:val="center"/>
          </w:tcPr>
          <w:p w14:paraId="1D3661DF">
            <w:pPr>
              <w:pStyle w:val="42"/>
              <w:rPr>
                <w:color w:val="auto"/>
                <w:kern w:val="0"/>
              </w:rPr>
            </w:pPr>
            <w:r>
              <w:rPr>
                <w:color w:val="auto"/>
                <w:sz w:val="24"/>
                <w:szCs w:val="24"/>
              </w:rPr>
              <w:t>污染物排放控制标</w:t>
            </w:r>
            <w:r>
              <w:rPr>
                <w:color w:val="auto"/>
                <w:kern w:val="0"/>
              </w:rPr>
              <w:t>准</w:t>
            </w:r>
          </w:p>
        </w:tc>
        <w:tc>
          <w:tcPr>
            <w:tcW w:w="4676" w:type="pct"/>
            <w:vAlign w:val="center"/>
          </w:tcPr>
          <w:p w14:paraId="4A556F0B">
            <w:pPr>
              <w:kinsoku w:val="0"/>
              <w:overflowPunct w:val="0"/>
              <w:autoSpaceDE w:val="0"/>
              <w:autoSpaceDN w:val="0"/>
              <w:adjustRightInd w:val="0"/>
              <w:snapToGrid w:val="0"/>
              <w:ind w:firstLine="482"/>
              <w:rPr>
                <w:b/>
                <w:bCs/>
                <w:color w:val="auto"/>
                <w:szCs w:val="24"/>
              </w:rPr>
            </w:pPr>
            <w:r>
              <w:rPr>
                <w:b/>
                <w:bCs/>
                <w:color w:val="auto"/>
                <w:szCs w:val="24"/>
              </w:rPr>
              <w:t>1、废气</w:t>
            </w:r>
          </w:p>
          <w:p w14:paraId="13C6983E">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根据生产工艺分析，本项目废气主要为挤出成型工序产生的挤出成型废气（污染因子为非甲烷总烃</w:t>
            </w:r>
            <w:r>
              <w:rPr>
                <w:rFonts w:hint="eastAsia" w:ascii="Times New Roman" w:hAnsi="Times New Roman" w:eastAsia="宋体" w:cs="Times New Roman"/>
                <w:color w:val="auto"/>
                <w:kern w:val="2"/>
                <w:sz w:val="24"/>
                <w:szCs w:val="24"/>
                <w:lang w:val="en-US" w:eastAsia="zh-CN" w:bidi="ar-SA"/>
              </w:rPr>
              <w:t>、苯乙烯、酚类</w:t>
            </w:r>
            <w:r>
              <w:rPr>
                <w:rFonts w:ascii="Times New Roman" w:hAnsi="Times New Roman" w:eastAsia="宋体" w:cs="Times New Roman"/>
                <w:color w:val="auto"/>
                <w:kern w:val="2"/>
                <w:sz w:val="24"/>
                <w:szCs w:val="24"/>
                <w:lang w:val="en-US" w:eastAsia="zh-CN" w:bidi="ar-SA"/>
              </w:rPr>
              <w:t>）；注塑成型工序产生的注塑成型废气（污染因子为非甲烷总烃</w:t>
            </w:r>
            <w:r>
              <w:rPr>
                <w:rFonts w:hint="eastAsia" w:ascii="Times New Roman" w:hAnsi="Times New Roman" w:eastAsia="宋体" w:cs="Times New Roman"/>
                <w:color w:val="auto"/>
                <w:kern w:val="2"/>
                <w:sz w:val="24"/>
                <w:szCs w:val="24"/>
                <w:lang w:val="en-US" w:eastAsia="zh-CN" w:bidi="ar-SA"/>
              </w:rPr>
              <w:t>、苯乙烯、酚类</w:t>
            </w:r>
            <w:r>
              <w:rPr>
                <w:rFonts w:ascii="Times New Roman" w:hAnsi="Times New Roman" w:eastAsia="宋体" w:cs="Times New Roman"/>
                <w:color w:val="auto"/>
                <w:kern w:val="2"/>
                <w:sz w:val="24"/>
                <w:szCs w:val="24"/>
                <w:lang w:val="en-US" w:eastAsia="zh-CN" w:bidi="ar-SA"/>
              </w:rPr>
              <w:t>）；成型工序产生的成型废气（污染因子为</w:t>
            </w:r>
            <w:r>
              <w:rPr>
                <w:rFonts w:hint="eastAsia" w:ascii="Times New Roman" w:hAnsi="Times New Roman" w:eastAsia="宋体" w:cs="Times New Roman"/>
                <w:color w:val="auto"/>
                <w:kern w:val="2"/>
                <w:sz w:val="24"/>
                <w:szCs w:val="24"/>
                <w:lang w:val="en-US" w:eastAsia="zh-CN" w:bidi="ar-SA"/>
              </w:rPr>
              <w:t>非甲烷总烃、苯乙烯、丙烯腈、酚类、甲苯、乙苯</w:t>
            </w:r>
            <w:r>
              <w:rPr>
                <w:rFonts w:ascii="Times New Roman" w:hAnsi="Times New Roman" w:eastAsia="宋体" w:cs="Times New Roman"/>
                <w:color w:val="auto"/>
                <w:kern w:val="2"/>
                <w:sz w:val="24"/>
                <w:szCs w:val="24"/>
                <w:lang w:val="en-US" w:eastAsia="zh-CN" w:bidi="ar-SA"/>
              </w:rPr>
              <w:t>）和破碎工序产生的破碎废气（污染因子为颗粒物）。</w:t>
            </w:r>
          </w:p>
          <w:p w14:paraId="2FF66B3C">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有组织废气：非甲烷总烃</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丙烯腈</w:t>
            </w:r>
            <w:r>
              <w:rPr>
                <w:rFonts w:hint="eastAsia" w:ascii="Times New Roman" w:hAnsi="Times New Roman" w:eastAsia="宋体" w:cs="Times New Roman"/>
                <w:color w:val="auto"/>
                <w:kern w:val="2"/>
                <w:sz w:val="24"/>
                <w:szCs w:val="24"/>
                <w:lang w:val="en-US" w:eastAsia="zh-CN" w:bidi="ar-SA"/>
              </w:rPr>
              <w:t>、苯乙烯、甲苯、乙苯、酚类</w:t>
            </w:r>
            <w:r>
              <w:rPr>
                <w:rFonts w:ascii="Times New Roman" w:hAnsi="Times New Roman" w:eastAsia="宋体" w:cs="Times New Roman"/>
                <w:color w:val="auto"/>
                <w:kern w:val="2"/>
                <w:sz w:val="24"/>
                <w:szCs w:val="24"/>
                <w:lang w:val="en-US" w:eastAsia="zh-CN" w:bidi="ar-SA"/>
              </w:rPr>
              <w:t>执行GB31572-2015《合成树脂工业污染物排放标准》（含2024年修改单）表5相关标准；臭气浓度执行《恶臭污染物排放标准》（GB14554-93）表2相关标准。</w:t>
            </w:r>
          </w:p>
          <w:p w14:paraId="7B639A73">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无组织废气：非甲烷总烃</w:t>
            </w:r>
            <w:r>
              <w:rPr>
                <w:rFonts w:hint="eastAsia" w:ascii="Times New Roman" w:hAnsi="Times New Roman" w:eastAsia="宋体" w:cs="Times New Roman"/>
                <w:color w:val="auto"/>
                <w:kern w:val="2"/>
                <w:sz w:val="24"/>
                <w:szCs w:val="24"/>
                <w:lang w:val="en-US" w:eastAsia="zh-CN" w:bidi="ar-SA"/>
              </w:rPr>
              <w:t>、颗粒物</w:t>
            </w:r>
            <w:r>
              <w:rPr>
                <w:rFonts w:ascii="Times New Roman" w:hAnsi="Times New Roman" w:eastAsia="宋体" w:cs="Times New Roman"/>
                <w:color w:val="auto"/>
                <w:kern w:val="2"/>
                <w:sz w:val="24"/>
                <w:szCs w:val="24"/>
                <w:lang w:val="en-US" w:eastAsia="zh-CN" w:bidi="ar-SA"/>
              </w:rPr>
              <w:t>执行GB31572-2015《合成树脂工业污染物排放标准》（含2024年修改单）表9相关标准；</w:t>
            </w:r>
            <w:r>
              <w:rPr>
                <w:rFonts w:hint="eastAsia" w:ascii="Times New Roman" w:hAnsi="Times New Roman" w:eastAsia="宋体" w:cs="Times New Roman"/>
                <w:color w:val="auto"/>
                <w:kern w:val="2"/>
                <w:sz w:val="24"/>
                <w:szCs w:val="24"/>
                <w:lang w:val="en-US" w:eastAsia="zh-CN" w:bidi="ar-SA"/>
              </w:rPr>
              <w:t>甲苯、苯乙烯（参照苯系物）、乙苯（参照苯系物）</w:t>
            </w:r>
            <w:r>
              <w:rPr>
                <w:rFonts w:ascii="Times New Roman" w:hAnsi="Times New Roman" w:eastAsia="宋体" w:cs="Times New Roman"/>
                <w:color w:val="auto"/>
                <w:kern w:val="2"/>
                <w:sz w:val="24"/>
                <w:szCs w:val="24"/>
                <w:lang w:val="en-US" w:eastAsia="zh-CN" w:bidi="ar-SA"/>
              </w:rPr>
              <w:t>、丙烯腈、</w:t>
            </w:r>
            <w:r>
              <w:rPr>
                <w:rFonts w:hint="eastAsia" w:ascii="Times New Roman" w:hAnsi="Times New Roman" w:eastAsia="宋体" w:cs="Times New Roman"/>
                <w:color w:val="auto"/>
                <w:kern w:val="2"/>
                <w:sz w:val="24"/>
                <w:szCs w:val="24"/>
                <w:lang w:val="en-US" w:eastAsia="zh-CN" w:bidi="ar-SA"/>
              </w:rPr>
              <w:t>酚类</w:t>
            </w:r>
            <w:r>
              <w:rPr>
                <w:rFonts w:ascii="Times New Roman" w:hAnsi="Times New Roman" w:eastAsia="宋体" w:cs="Times New Roman"/>
                <w:color w:val="auto"/>
                <w:kern w:val="2"/>
                <w:sz w:val="24"/>
                <w:szCs w:val="24"/>
                <w:lang w:val="en-US" w:eastAsia="zh-CN" w:bidi="ar-SA"/>
              </w:rPr>
              <w:t>执行《大气污染物综合排放标准》（DB32/4041-2021）表3相关标准；臭气浓度执行《恶臭污染物排放标准》（GB14554-93）表1相关标准。</w:t>
            </w:r>
          </w:p>
          <w:p w14:paraId="7CD4816B">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厂区内VOCs无组织排放限值执行《大气污染物综合排放标准》（DB 32/4041-2021）表2标准。具体见表3-6、表3-7。</w:t>
            </w:r>
          </w:p>
          <w:p w14:paraId="276EE95A">
            <w:pPr>
              <w:keepNext/>
              <w:keepLines/>
              <w:widowControl w:val="0"/>
              <w:numPr>
                <w:ilvl w:val="0"/>
                <w:numId w:val="0"/>
              </w:numPr>
              <w:adjustRightInd w:val="0"/>
              <w:snapToGrid w:val="0"/>
              <w:spacing w:line="240" w:lineRule="auto"/>
              <w:ind w:firstLine="482" w:firstLineChars="200"/>
              <w:jc w:val="center"/>
              <w:outlineLvl w:val="1"/>
              <w:rPr>
                <w:rFonts w:ascii="Times New Roman" w:hAnsi="Times New Roman" w:eastAsia="宋体" w:cs="Times New Roman"/>
                <w:b/>
                <w:bCs/>
                <w:color w:val="auto"/>
                <w:kern w:val="2"/>
                <w:sz w:val="24"/>
                <w:szCs w:val="24"/>
                <w:lang w:val="en-US" w:eastAsia="zh-CN" w:bidi="ar-SA"/>
              </w:rPr>
            </w:pPr>
            <w:bookmarkStart w:id="2" w:name="_Ref25802"/>
            <w:r>
              <w:rPr>
                <w:rFonts w:ascii="Times New Roman" w:hAnsi="Times New Roman" w:eastAsia="宋体" w:cs="Times New Roman"/>
                <w:b/>
                <w:bCs/>
                <w:color w:val="auto"/>
                <w:kern w:val="2"/>
                <w:sz w:val="24"/>
                <w:szCs w:val="24"/>
                <w:lang w:val="en-US" w:eastAsia="zh-CN" w:bidi="ar-SA"/>
              </w:rPr>
              <w:t>表3-6大气污染物有组织排放标准</w:t>
            </w:r>
            <w:bookmarkEnd w:id="2"/>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04"/>
              <w:gridCol w:w="1455"/>
              <w:gridCol w:w="794"/>
              <w:gridCol w:w="716"/>
              <w:gridCol w:w="4185"/>
            </w:tblGrid>
            <w:tr w14:paraId="3DCB3F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0" w:type="auto"/>
                  <w:tcBorders>
                    <w:top w:val="single" w:color="auto" w:sz="12" w:space="0"/>
                    <w:bottom w:val="single" w:color="auto" w:sz="4" w:space="0"/>
                  </w:tcBorders>
                  <w:vAlign w:val="center"/>
                </w:tcPr>
                <w:p w14:paraId="7B66279B">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评价因子</w:t>
                  </w:r>
                </w:p>
              </w:tc>
              <w:tc>
                <w:tcPr>
                  <w:tcW w:w="0" w:type="auto"/>
                  <w:tcBorders>
                    <w:top w:val="single" w:color="auto" w:sz="12" w:space="0"/>
                    <w:bottom w:val="single" w:color="auto" w:sz="4" w:space="0"/>
                  </w:tcBorders>
                  <w:vAlign w:val="center"/>
                </w:tcPr>
                <w:p w14:paraId="3187A814">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最高允许排放浓度(mg/m</w:t>
                  </w:r>
                  <w:r>
                    <w:rPr>
                      <w:rFonts w:ascii="Times New Roman" w:hAnsi="Times New Roman" w:eastAsia="宋体" w:cs="Times New Roman"/>
                      <w:b/>
                      <w:bCs/>
                      <w:color w:val="auto"/>
                      <w:kern w:val="2"/>
                      <w:sz w:val="21"/>
                      <w:szCs w:val="21"/>
                      <w:vertAlign w:val="superscript"/>
                      <w:lang w:val="en-US" w:eastAsia="zh-CN" w:bidi="ar-SA"/>
                    </w:rPr>
                    <w:t>3</w:t>
                  </w:r>
                  <w:r>
                    <w:rPr>
                      <w:rFonts w:ascii="Times New Roman" w:hAnsi="Times New Roman" w:eastAsia="宋体" w:cs="Times New Roman"/>
                      <w:b/>
                      <w:bCs/>
                      <w:color w:val="auto"/>
                      <w:kern w:val="2"/>
                      <w:sz w:val="21"/>
                      <w:szCs w:val="21"/>
                      <w:lang w:val="en-US" w:eastAsia="zh-CN" w:bidi="ar-SA"/>
                    </w:rPr>
                    <w:t>)</w:t>
                  </w:r>
                </w:p>
              </w:tc>
              <w:tc>
                <w:tcPr>
                  <w:tcW w:w="0" w:type="auto"/>
                  <w:tcBorders>
                    <w:top w:val="single" w:color="auto" w:sz="12" w:space="0"/>
                    <w:bottom w:val="single" w:color="auto" w:sz="4" w:space="0"/>
                  </w:tcBorders>
                  <w:vAlign w:val="center"/>
                </w:tcPr>
                <w:p w14:paraId="41AF5344">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排气筒高度(m)</w:t>
                  </w:r>
                </w:p>
              </w:tc>
              <w:tc>
                <w:tcPr>
                  <w:tcW w:w="0" w:type="auto"/>
                  <w:tcBorders>
                    <w:top w:val="single" w:color="auto" w:sz="12" w:space="0"/>
                    <w:bottom w:val="single" w:color="auto" w:sz="4" w:space="0"/>
                  </w:tcBorders>
                  <w:vAlign w:val="center"/>
                </w:tcPr>
                <w:p w14:paraId="715DF35F">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排放速率</w:t>
                  </w:r>
                </w:p>
                <w:p w14:paraId="0BD46DC7">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(kg/h)</w:t>
                  </w:r>
                </w:p>
              </w:tc>
              <w:tc>
                <w:tcPr>
                  <w:tcW w:w="0" w:type="auto"/>
                  <w:tcBorders>
                    <w:top w:val="single" w:color="auto" w:sz="12" w:space="0"/>
                    <w:bottom w:val="single" w:color="auto" w:sz="4" w:space="0"/>
                  </w:tcBorders>
                  <w:vAlign w:val="center"/>
                </w:tcPr>
                <w:p w14:paraId="0A142574">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选用标准</w:t>
                  </w:r>
                </w:p>
              </w:tc>
            </w:tr>
            <w:tr w14:paraId="4A7338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0D8114B6">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非甲烷总烃</w:t>
                  </w:r>
                </w:p>
              </w:tc>
              <w:tc>
                <w:tcPr>
                  <w:tcW w:w="0" w:type="auto"/>
                  <w:tcBorders>
                    <w:top w:val="single" w:color="auto" w:sz="4" w:space="0"/>
                  </w:tcBorders>
                  <w:vAlign w:val="center"/>
                </w:tcPr>
                <w:p w14:paraId="7AF9813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60</w:t>
                  </w:r>
                </w:p>
              </w:tc>
              <w:tc>
                <w:tcPr>
                  <w:tcW w:w="0" w:type="auto"/>
                  <w:vMerge w:val="restart"/>
                  <w:vAlign w:val="center"/>
                </w:tcPr>
                <w:p w14:paraId="530ED569">
                  <w:pPr>
                    <w:widowControl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27</w:t>
                  </w:r>
                </w:p>
              </w:tc>
              <w:tc>
                <w:tcPr>
                  <w:tcW w:w="0" w:type="auto"/>
                  <w:tcBorders>
                    <w:top w:val="single" w:color="auto" w:sz="4" w:space="0"/>
                  </w:tcBorders>
                  <w:vAlign w:val="center"/>
                </w:tcPr>
                <w:p w14:paraId="0DC221B1">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Merge w:val="restart"/>
                  <w:vAlign w:val="center"/>
                </w:tcPr>
                <w:p w14:paraId="175C67D3">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《合成树脂工业污染物排放标准》（GB31572-2015）（含2024年修改单）表5标准</w:t>
                  </w:r>
                </w:p>
              </w:tc>
            </w:tr>
            <w:tr w14:paraId="2988D9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0" w:type="auto"/>
                  <w:vAlign w:val="center"/>
                </w:tcPr>
                <w:p w14:paraId="5A0DDAB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酚类</w:t>
                  </w:r>
                </w:p>
              </w:tc>
              <w:tc>
                <w:tcPr>
                  <w:tcW w:w="0" w:type="auto"/>
                  <w:tcBorders>
                    <w:top w:val="single" w:color="auto" w:sz="4" w:space="0"/>
                  </w:tcBorders>
                  <w:vAlign w:val="center"/>
                </w:tcPr>
                <w:p w14:paraId="39E9057E">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p>
              </w:tc>
              <w:tc>
                <w:tcPr>
                  <w:tcW w:w="0" w:type="auto"/>
                  <w:vMerge w:val="continue"/>
                  <w:vAlign w:val="center"/>
                </w:tcPr>
                <w:p w14:paraId="40E6B48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0" w:type="auto"/>
                  <w:tcBorders>
                    <w:top w:val="single" w:color="auto" w:sz="4" w:space="0"/>
                  </w:tcBorders>
                  <w:vAlign w:val="center"/>
                </w:tcPr>
                <w:p w14:paraId="50187C0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Merge w:val="continue"/>
                  <w:vAlign w:val="center"/>
                </w:tcPr>
                <w:p w14:paraId="1F113C7F">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228BA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72825CF4">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苯乙烯</w:t>
                  </w:r>
                </w:p>
              </w:tc>
              <w:tc>
                <w:tcPr>
                  <w:tcW w:w="0" w:type="auto"/>
                  <w:vAlign w:val="center"/>
                </w:tcPr>
                <w:p w14:paraId="2029DC47">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20</w:t>
                  </w:r>
                </w:p>
              </w:tc>
              <w:tc>
                <w:tcPr>
                  <w:tcW w:w="0" w:type="auto"/>
                  <w:vMerge w:val="continue"/>
                  <w:vAlign w:val="center"/>
                </w:tcPr>
                <w:p w14:paraId="208C3104">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0" w:type="auto"/>
                  <w:vAlign w:val="center"/>
                </w:tcPr>
                <w:p w14:paraId="03C25998">
                  <w:pPr>
                    <w:widowControl w:val="0"/>
                    <w:snapToGrid w:val="0"/>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Merge w:val="continue"/>
                  <w:vAlign w:val="center"/>
                </w:tcPr>
                <w:p w14:paraId="0577224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0D26CA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7CD7A6E6">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丙烯腈</w:t>
                  </w:r>
                </w:p>
              </w:tc>
              <w:tc>
                <w:tcPr>
                  <w:tcW w:w="0" w:type="auto"/>
                  <w:vAlign w:val="center"/>
                </w:tcPr>
                <w:p w14:paraId="7D6F801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0.5</w:t>
                  </w:r>
                </w:p>
              </w:tc>
              <w:tc>
                <w:tcPr>
                  <w:tcW w:w="0" w:type="auto"/>
                  <w:vMerge w:val="continue"/>
                  <w:vAlign w:val="center"/>
                </w:tcPr>
                <w:p w14:paraId="550097C6">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0" w:type="auto"/>
                  <w:vAlign w:val="center"/>
                </w:tcPr>
                <w:p w14:paraId="68C9965F">
                  <w:pPr>
                    <w:widowControl w:val="0"/>
                    <w:snapToGrid w:val="0"/>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Merge w:val="continue"/>
                  <w:vAlign w:val="center"/>
                </w:tcPr>
                <w:p w14:paraId="7202D78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45633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70D1E2C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甲苯</w:t>
                  </w:r>
                </w:p>
              </w:tc>
              <w:tc>
                <w:tcPr>
                  <w:tcW w:w="0" w:type="auto"/>
                  <w:vAlign w:val="center"/>
                </w:tcPr>
                <w:p w14:paraId="2C57AA9D">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8</w:t>
                  </w:r>
                </w:p>
              </w:tc>
              <w:tc>
                <w:tcPr>
                  <w:tcW w:w="0" w:type="auto"/>
                  <w:vMerge w:val="continue"/>
                  <w:vAlign w:val="center"/>
                </w:tcPr>
                <w:p w14:paraId="34BF3C2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0" w:type="auto"/>
                  <w:vAlign w:val="center"/>
                </w:tcPr>
                <w:p w14:paraId="210AE32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Merge w:val="continue"/>
                  <w:vAlign w:val="center"/>
                </w:tcPr>
                <w:p w14:paraId="3DDCBDD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6A0FC5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39D2BA4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乙苯</w:t>
                  </w:r>
                </w:p>
              </w:tc>
              <w:tc>
                <w:tcPr>
                  <w:tcW w:w="0" w:type="auto"/>
                  <w:vAlign w:val="center"/>
                </w:tcPr>
                <w:p w14:paraId="1278A98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50</w:t>
                  </w:r>
                </w:p>
              </w:tc>
              <w:tc>
                <w:tcPr>
                  <w:tcW w:w="0" w:type="auto"/>
                  <w:vMerge w:val="continue"/>
                  <w:vAlign w:val="center"/>
                </w:tcPr>
                <w:p w14:paraId="4B2D999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0" w:type="auto"/>
                  <w:vAlign w:val="center"/>
                </w:tcPr>
                <w:p w14:paraId="1FA23C33">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Merge w:val="continue"/>
                  <w:vAlign w:val="center"/>
                </w:tcPr>
                <w:p w14:paraId="6DB7B0B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24664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21DE3D87">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臭气浓度</w:t>
                  </w:r>
                </w:p>
              </w:tc>
              <w:tc>
                <w:tcPr>
                  <w:tcW w:w="0" w:type="auto"/>
                  <w:vAlign w:val="center"/>
                </w:tcPr>
                <w:p w14:paraId="072A72A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000（无量纲）</w:t>
                  </w:r>
                </w:p>
              </w:tc>
              <w:tc>
                <w:tcPr>
                  <w:tcW w:w="0" w:type="auto"/>
                  <w:vMerge w:val="continue"/>
                  <w:vAlign w:val="center"/>
                </w:tcPr>
                <w:p w14:paraId="755E1CB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0" w:type="auto"/>
                  <w:vAlign w:val="center"/>
                </w:tcPr>
                <w:p w14:paraId="66266B0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w:t>
                  </w:r>
                </w:p>
              </w:tc>
              <w:tc>
                <w:tcPr>
                  <w:tcW w:w="0" w:type="auto"/>
                  <w:vAlign w:val="center"/>
                </w:tcPr>
                <w:p w14:paraId="0C98AB74">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《恶臭污染物排放标准》（GB14554-93）表2标准</w:t>
                  </w:r>
                </w:p>
              </w:tc>
            </w:tr>
          </w:tbl>
          <w:p w14:paraId="1D93CACB">
            <w:pPr>
              <w:widowControl w:val="0"/>
              <w:snapToGrid w:val="0"/>
              <w:spacing w:line="240" w:lineRule="auto"/>
              <w:ind w:firstLine="0" w:firstLineChars="0"/>
              <w:jc w:val="center"/>
              <w:rPr>
                <w:rFonts w:ascii="Times New Roman" w:hAnsi="Times New Roman" w:eastAsia="宋体" w:cs="Times New Roman"/>
                <w:b/>
                <w:bCs/>
                <w:color w:val="auto"/>
                <w:kern w:val="2"/>
                <w:sz w:val="24"/>
                <w:szCs w:val="24"/>
                <w:lang w:val="en-US" w:eastAsia="zh-CN" w:bidi="ar-SA"/>
              </w:rPr>
            </w:pPr>
            <w:r>
              <w:rPr>
                <w:rFonts w:ascii="Times New Roman" w:hAnsi="Times New Roman" w:eastAsia="宋体" w:cs="Times New Roman"/>
                <w:b/>
                <w:bCs/>
                <w:color w:val="auto"/>
                <w:kern w:val="2"/>
                <w:sz w:val="24"/>
                <w:szCs w:val="24"/>
                <w:lang w:val="en-US" w:eastAsia="zh-CN" w:bidi="ar-SA"/>
              </w:rPr>
              <w:t>表3-7大气污染物无组织排放标准</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667"/>
              <w:gridCol w:w="4633"/>
            </w:tblGrid>
            <w:tr w14:paraId="51ACE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6" w:type="pct"/>
                  <w:vAlign w:val="center"/>
                </w:tcPr>
                <w:p w14:paraId="5BF30706">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污染物</w:t>
                  </w:r>
                </w:p>
              </w:tc>
              <w:tc>
                <w:tcPr>
                  <w:tcW w:w="1075" w:type="pct"/>
                  <w:tcMar>
                    <w:top w:w="0" w:type="dxa"/>
                    <w:left w:w="0" w:type="dxa"/>
                    <w:bottom w:w="0" w:type="dxa"/>
                    <w:right w:w="0" w:type="dxa"/>
                  </w:tcMar>
                  <w:vAlign w:val="center"/>
                </w:tcPr>
                <w:p w14:paraId="2AB94E40">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厂界无组织排放浓度限值</w:t>
                  </w:r>
                </w:p>
                <w:p w14:paraId="481D339A">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（mg/m</w:t>
                  </w:r>
                  <w:r>
                    <w:rPr>
                      <w:rFonts w:ascii="Times New Roman" w:hAnsi="Times New Roman" w:eastAsia="宋体" w:cs="Times New Roman"/>
                      <w:b/>
                      <w:bCs/>
                      <w:color w:val="auto"/>
                      <w:kern w:val="2"/>
                      <w:sz w:val="21"/>
                      <w:szCs w:val="21"/>
                      <w:vertAlign w:val="superscript"/>
                      <w:lang w:val="en-US" w:eastAsia="zh-CN" w:bidi="ar-SA"/>
                    </w:rPr>
                    <w:t>3</w:t>
                  </w:r>
                  <w:r>
                    <w:rPr>
                      <w:rFonts w:ascii="Times New Roman" w:hAnsi="Times New Roman" w:eastAsia="宋体" w:cs="Times New Roman"/>
                      <w:b/>
                      <w:bCs/>
                      <w:color w:val="auto"/>
                      <w:kern w:val="2"/>
                      <w:sz w:val="21"/>
                      <w:szCs w:val="21"/>
                      <w:lang w:val="en-US" w:eastAsia="zh-CN" w:bidi="ar-SA"/>
                    </w:rPr>
                    <w:t>）</w:t>
                  </w:r>
                </w:p>
              </w:tc>
              <w:tc>
                <w:tcPr>
                  <w:tcW w:w="2988" w:type="pct"/>
                  <w:tcMar>
                    <w:top w:w="0" w:type="dxa"/>
                    <w:left w:w="0" w:type="dxa"/>
                    <w:bottom w:w="0" w:type="dxa"/>
                    <w:right w:w="0" w:type="dxa"/>
                  </w:tcMar>
                  <w:vAlign w:val="center"/>
                </w:tcPr>
                <w:p w14:paraId="2EE6E389">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标准来源</w:t>
                  </w:r>
                </w:p>
              </w:tc>
            </w:tr>
            <w:tr w14:paraId="029BAD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10A3E06D">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非甲烷总烃</w:t>
                  </w:r>
                </w:p>
              </w:tc>
              <w:tc>
                <w:tcPr>
                  <w:tcW w:w="1075" w:type="pct"/>
                  <w:tcMar>
                    <w:top w:w="0" w:type="dxa"/>
                    <w:left w:w="0" w:type="dxa"/>
                    <w:bottom w:w="0" w:type="dxa"/>
                    <w:right w:w="0" w:type="dxa"/>
                  </w:tcMar>
                  <w:vAlign w:val="center"/>
                </w:tcPr>
                <w:p w14:paraId="550340E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4.0</w:t>
                  </w:r>
                </w:p>
              </w:tc>
              <w:tc>
                <w:tcPr>
                  <w:tcW w:w="2988" w:type="pct"/>
                  <w:vMerge w:val="restart"/>
                  <w:tcMar>
                    <w:top w:w="0" w:type="dxa"/>
                    <w:left w:w="0" w:type="dxa"/>
                    <w:bottom w:w="0" w:type="dxa"/>
                    <w:right w:w="0" w:type="dxa"/>
                  </w:tcMar>
                  <w:vAlign w:val="center"/>
                </w:tcPr>
                <w:p w14:paraId="5C4C3DD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《合成树脂工业污染物排放标准》（GB31572-2015）（含2024年修改单）表9标准</w:t>
                  </w:r>
                </w:p>
              </w:tc>
            </w:tr>
            <w:tr w14:paraId="61D109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7B90BF6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1075" w:type="pct"/>
                  <w:tcMar>
                    <w:top w:w="0" w:type="dxa"/>
                    <w:left w:w="0" w:type="dxa"/>
                    <w:bottom w:w="0" w:type="dxa"/>
                    <w:right w:w="0" w:type="dxa"/>
                  </w:tcMar>
                  <w:vAlign w:val="center"/>
                </w:tcPr>
                <w:p w14:paraId="00BBCE3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2988" w:type="pct"/>
                  <w:vMerge w:val="continue"/>
                  <w:tcMar>
                    <w:top w:w="0" w:type="dxa"/>
                    <w:left w:w="0" w:type="dxa"/>
                    <w:bottom w:w="0" w:type="dxa"/>
                    <w:right w:w="0" w:type="dxa"/>
                  </w:tcMar>
                  <w:vAlign w:val="center"/>
                </w:tcPr>
                <w:p w14:paraId="263C1B46">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79BACC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36" w:type="pct"/>
                  <w:vAlign w:val="center"/>
                </w:tcPr>
                <w:p w14:paraId="0C82208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丙烯腈</w:t>
                  </w:r>
                </w:p>
              </w:tc>
              <w:tc>
                <w:tcPr>
                  <w:tcW w:w="1075" w:type="pct"/>
                  <w:tcMar>
                    <w:top w:w="0" w:type="dxa"/>
                    <w:left w:w="0" w:type="dxa"/>
                    <w:bottom w:w="0" w:type="dxa"/>
                    <w:right w:w="0" w:type="dxa"/>
                  </w:tcMar>
                  <w:vAlign w:val="center"/>
                </w:tcPr>
                <w:p w14:paraId="464C17F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0.15</w:t>
                  </w:r>
                </w:p>
              </w:tc>
              <w:tc>
                <w:tcPr>
                  <w:tcW w:w="2988" w:type="pct"/>
                  <w:vMerge w:val="restart"/>
                  <w:tcMar>
                    <w:top w:w="0" w:type="dxa"/>
                    <w:left w:w="0" w:type="dxa"/>
                    <w:bottom w:w="0" w:type="dxa"/>
                    <w:right w:w="0" w:type="dxa"/>
                  </w:tcMar>
                  <w:vAlign w:val="center"/>
                </w:tcPr>
                <w:p w14:paraId="4D7AD9F7">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《大气污染物综合排放标准》（DB32/4041-2021）表3标准</w:t>
                  </w:r>
                </w:p>
              </w:tc>
            </w:tr>
            <w:tr w14:paraId="2BFDFC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542E9B1F">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酚类</w:t>
                  </w:r>
                </w:p>
              </w:tc>
              <w:tc>
                <w:tcPr>
                  <w:tcW w:w="1075" w:type="pct"/>
                  <w:tcMar>
                    <w:top w:w="0" w:type="dxa"/>
                    <w:left w:w="0" w:type="dxa"/>
                    <w:bottom w:w="0" w:type="dxa"/>
                    <w:right w:w="0" w:type="dxa"/>
                  </w:tcMar>
                  <w:vAlign w:val="center"/>
                </w:tcPr>
                <w:p w14:paraId="1E2030B3">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0.02</w:t>
                  </w:r>
                </w:p>
              </w:tc>
              <w:tc>
                <w:tcPr>
                  <w:tcW w:w="2988" w:type="pct"/>
                  <w:vMerge w:val="continue"/>
                  <w:tcMar>
                    <w:top w:w="0" w:type="dxa"/>
                    <w:left w:w="0" w:type="dxa"/>
                    <w:bottom w:w="0" w:type="dxa"/>
                    <w:right w:w="0" w:type="dxa"/>
                  </w:tcMar>
                  <w:vAlign w:val="center"/>
                </w:tcPr>
                <w:p w14:paraId="1A31C6C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2A1C5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3A8FCB09">
                  <w:pPr>
                    <w:widowControl w:val="0"/>
                    <w:snapToGrid w:val="0"/>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甲苯</w:t>
                  </w:r>
                </w:p>
              </w:tc>
              <w:tc>
                <w:tcPr>
                  <w:tcW w:w="1075" w:type="pct"/>
                  <w:tcMar>
                    <w:top w:w="0" w:type="dxa"/>
                    <w:left w:w="0" w:type="dxa"/>
                    <w:bottom w:w="0" w:type="dxa"/>
                    <w:right w:w="0" w:type="dxa"/>
                  </w:tcMar>
                  <w:vAlign w:val="center"/>
                </w:tcPr>
                <w:p w14:paraId="7CAA84F7">
                  <w:pPr>
                    <w:widowControl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c>
                <w:tcPr>
                  <w:tcW w:w="2988" w:type="pct"/>
                  <w:vMerge w:val="continue"/>
                  <w:tcMar>
                    <w:top w:w="0" w:type="dxa"/>
                    <w:left w:w="0" w:type="dxa"/>
                    <w:bottom w:w="0" w:type="dxa"/>
                    <w:right w:w="0" w:type="dxa"/>
                  </w:tcMar>
                  <w:vAlign w:val="center"/>
                </w:tcPr>
                <w:p w14:paraId="440D944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5EC6AD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7BD9492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苯乙烯</w:t>
                  </w:r>
                  <w:r>
                    <w:rPr>
                      <w:rFonts w:hint="eastAsia" w:ascii="Times New Roman" w:hAnsi="Times New Roman" w:eastAsia="宋体" w:cs="Times New Roman"/>
                      <w:color w:val="auto"/>
                      <w:kern w:val="2"/>
                      <w:sz w:val="21"/>
                      <w:szCs w:val="21"/>
                      <w:lang w:val="en-US" w:eastAsia="zh-CN" w:bidi="ar-SA"/>
                    </w:rPr>
                    <w:t>、乙苯</w:t>
                  </w:r>
                </w:p>
              </w:tc>
              <w:tc>
                <w:tcPr>
                  <w:tcW w:w="1075" w:type="pct"/>
                  <w:tcMar>
                    <w:top w:w="0" w:type="dxa"/>
                    <w:left w:w="0" w:type="dxa"/>
                    <w:bottom w:w="0" w:type="dxa"/>
                    <w:right w:w="0" w:type="dxa"/>
                  </w:tcMar>
                  <w:vAlign w:val="center"/>
                </w:tcPr>
                <w:p w14:paraId="24693E35">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0.4</w:t>
                  </w:r>
                </w:p>
              </w:tc>
              <w:tc>
                <w:tcPr>
                  <w:tcW w:w="2988" w:type="pct"/>
                  <w:vMerge w:val="continue"/>
                  <w:tcMar>
                    <w:top w:w="0" w:type="dxa"/>
                    <w:left w:w="0" w:type="dxa"/>
                    <w:bottom w:w="0" w:type="dxa"/>
                    <w:right w:w="0" w:type="dxa"/>
                  </w:tcMar>
                  <w:vAlign w:val="center"/>
                </w:tcPr>
                <w:p w14:paraId="39C8A8C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r w14:paraId="7BB5EA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pct"/>
                  <w:vAlign w:val="center"/>
                </w:tcPr>
                <w:p w14:paraId="6FD41E5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臭气浓度</w:t>
                  </w:r>
                </w:p>
              </w:tc>
              <w:tc>
                <w:tcPr>
                  <w:tcW w:w="1075" w:type="pct"/>
                  <w:tcMar>
                    <w:top w:w="0" w:type="dxa"/>
                    <w:left w:w="0" w:type="dxa"/>
                    <w:bottom w:w="0" w:type="dxa"/>
                    <w:right w:w="0" w:type="dxa"/>
                  </w:tcMar>
                  <w:vAlign w:val="center"/>
                </w:tcPr>
                <w:p w14:paraId="0407FC6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20（无量纲）</w:t>
                  </w:r>
                </w:p>
              </w:tc>
              <w:tc>
                <w:tcPr>
                  <w:tcW w:w="2988" w:type="pct"/>
                  <w:tcMar>
                    <w:top w:w="0" w:type="dxa"/>
                    <w:left w:w="0" w:type="dxa"/>
                    <w:bottom w:w="0" w:type="dxa"/>
                    <w:right w:w="0" w:type="dxa"/>
                  </w:tcMar>
                  <w:vAlign w:val="center"/>
                </w:tcPr>
                <w:p w14:paraId="1F199484">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《恶臭污染物排放标准》（GB14554-93）表1标准</w:t>
                  </w:r>
                </w:p>
              </w:tc>
            </w:tr>
          </w:tbl>
          <w:p w14:paraId="78D8E690">
            <w:pPr>
              <w:widowControl w:val="0"/>
              <w:snapToGrid w:val="0"/>
              <w:spacing w:line="360" w:lineRule="auto"/>
              <w:ind w:firstLine="0" w:firstLineChars="0"/>
              <w:jc w:val="center"/>
              <w:rPr>
                <w:rFonts w:ascii="Times New Roman" w:hAnsi="Times New Roman" w:eastAsia="宋体" w:cs="Times New Roman"/>
                <w:color w:val="auto"/>
                <w:kern w:val="2"/>
                <w:sz w:val="21"/>
                <w:szCs w:val="21"/>
                <w:lang w:val="en-US" w:eastAsia="zh-CN" w:bidi="ar-SA"/>
              </w:rPr>
            </w:pPr>
            <w:bookmarkStart w:id="3" w:name="_Ref16534"/>
            <w:r>
              <w:rPr>
                <w:rFonts w:ascii="Times New Roman" w:hAnsi="Times New Roman" w:eastAsia="宋体" w:cs="Times New Roman"/>
                <w:b/>
                <w:bCs/>
                <w:color w:val="auto"/>
                <w:kern w:val="2"/>
                <w:sz w:val="24"/>
                <w:szCs w:val="24"/>
                <w:lang w:val="en-US" w:eastAsia="zh-CN" w:bidi="ar-SA"/>
              </w:rPr>
              <w:t>表3-8厂区内VOCs无组织排放限值</w:t>
            </w:r>
            <w:bookmarkEnd w:id="3"/>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28" w:type="dxa"/>
                <w:bottom w:w="0" w:type="dxa"/>
                <w:right w:w="28" w:type="dxa"/>
              </w:tblCellMar>
            </w:tblPr>
            <w:tblGrid>
              <w:gridCol w:w="1254"/>
              <w:gridCol w:w="1375"/>
              <w:gridCol w:w="3294"/>
              <w:gridCol w:w="1798"/>
            </w:tblGrid>
            <w:tr w14:paraId="180B9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40" w:hRule="atLeast"/>
                <w:tblHeader/>
                <w:jc w:val="center"/>
              </w:trPr>
              <w:tc>
                <w:tcPr>
                  <w:tcW w:w="812" w:type="pct"/>
                  <w:tcBorders>
                    <w:top w:val="single" w:color="auto" w:sz="12" w:space="0"/>
                    <w:left w:val="nil"/>
                    <w:bottom w:val="single" w:color="auto" w:sz="2" w:space="0"/>
                    <w:right w:val="single" w:color="auto" w:sz="2" w:space="0"/>
                  </w:tcBorders>
                  <w:vAlign w:val="center"/>
                </w:tcPr>
                <w:p w14:paraId="55CBF322">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污染物项目</w:t>
                  </w:r>
                </w:p>
              </w:tc>
              <w:tc>
                <w:tcPr>
                  <w:tcW w:w="890" w:type="pct"/>
                  <w:tcBorders>
                    <w:top w:val="single" w:color="auto" w:sz="12" w:space="0"/>
                    <w:left w:val="single" w:color="auto" w:sz="2" w:space="0"/>
                    <w:bottom w:val="single" w:color="auto" w:sz="2" w:space="0"/>
                    <w:right w:val="single" w:color="auto" w:sz="2" w:space="0"/>
                  </w:tcBorders>
                  <w:vAlign w:val="center"/>
                </w:tcPr>
                <w:p w14:paraId="010BF7EB">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特别排放限值mg/m</w:t>
                  </w:r>
                  <w:r>
                    <w:rPr>
                      <w:rFonts w:ascii="Times New Roman" w:hAnsi="Times New Roman" w:eastAsia="宋体" w:cs="Times New Roman"/>
                      <w:b/>
                      <w:bCs/>
                      <w:color w:val="auto"/>
                      <w:kern w:val="2"/>
                      <w:sz w:val="21"/>
                      <w:szCs w:val="21"/>
                      <w:vertAlign w:val="superscript"/>
                      <w:lang w:val="en-US" w:eastAsia="zh-CN" w:bidi="ar-SA"/>
                    </w:rPr>
                    <w:t>3</w:t>
                  </w:r>
                </w:p>
              </w:tc>
              <w:tc>
                <w:tcPr>
                  <w:tcW w:w="2132" w:type="pct"/>
                  <w:tcBorders>
                    <w:top w:val="single" w:color="auto" w:sz="12" w:space="0"/>
                    <w:left w:val="single" w:color="auto" w:sz="2" w:space="0"/>
                    <w:bottom w:val="single" w:color="auto" w:sz="2" w:space="0"/>
                    <w:right w:val="single" w:color="auto" w:sz="2" w:space="0"/>
                  </w:tcBorders>
                  <w:vAlign w:val="center"/>
                </w:tcPr>
                <w:p w14:paraId="6D4937B1">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限值含义</w:t>
                  </w:r>
                </w:p>
              </w:tc>
              <w:tc>
                <w:tcPr>
                  <w:tcW w:w="1164" w:type="pct"/>
                  <w:tcBorders>
                    <w:top w:val="single" w:color="auto" w:sz="12" w:space="0"/>
                    <w:left w:val="single" w:color="auto" w:sz="2" w:space="0"/>
                    <w:bottom w:val="single" w:color="auto" w:sz="2" w:space="0"/>
                    <w:right w:val="single" w:color="auto" w:sz="2" w:space="0"/>
                  </w:tcBorders>
                  <w:vAlign w:val="center"/>
                </w:tcPr>
                <w:p w14:paraId="122845F6">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无组织排放监控位置</w:t>
                  </w:r>
                </w:p>
              </w:tc>
            </w:tr>
            <w:tr w14:paraId="2F7FFB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0" w:hRule="atLeast"/>
                <w:jc w:val="center"/>
              </w:trPr>
              <w:tc>
                <w:tcPr>
                  <w:tcW w:w="812" w:type="pct"/>
                  <w:vMerge w:val="restart"/>
                  <w:tcBorders>
                    <w:top w:val="single" w:color="auto" w:sz="2" w:space="0"/>
                    <w:left w:val="nil"/>
                    <w:bottom w:val="single" w:color="auto" w:sz="2" w:space="0"/>
                    <w:right w:val="single" w:color="auto" w:sz="2" w:space="0"/>
                  </w:tcBorders>
                  <w:vAlign w:val="center"/>
                </w:tcPr>
                <w:p w14:paraId="4938182E">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NMHC</w:t>
                  </w:r>
                </w:p>
              </w:tc>
              <w:tc>
                <w:tcPr>
                  <w:tcW w:w="890" w:type="pct"/>
                  <w:tcBorders>
                    <w:top w:val="single" w:color="auto" w:sz="2" w:space="0"/>
                    <w:left w:val="single" w:color="auto" w:sz="2" w:space="0"/>
                    <w:bottom w:val="single" w:color="auto" w:sz="2" w:space="0"/>
                    <w:right w:val="single" w:color="auto" w:sz="2" w:space="0"/>
                  </w:tcBorders>
                  <w:vAlign w:val="center"/>
                </w:tcPr>
                <w:p w14:paraId="1367ABDA">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6</w:t>
                  </w:r>
                </w:p>
              </w:tc>
              <w:tc>
                <w:tcPr>
                  <w:tcW w:w="2132" w:type="pct"/>
                  <w:tcBorders>
                    <w:top w:val="single" w:color="auto" w:sz="2" w:space="0"/>
                    <w:left w:val="single" w:color="auto" w:sz="2" w:space="0"/>
                    <w:bottom w:val="single" w:color="auto" w:sz="2" w:space="0"/>
                    <w:right w:val="single" w:color="auto" w:sz="2" w:space="0"/>
                  </w:tcBorders>
                  <w:vAlign w:val="center"/>
                </w:tcPr>
                <w:p w14:paraId="2E0144B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监控点处1h平均浓度值</w:t>
                  </w:r>
                </w:p>
              </w:tc>
              <w:tc>
                <w:tcPr>
                  <w:tcW w:w="1164" w:type="pct"/>
                  <w:vMerge w:val="restart"/>
                  <w:tcBorders>
                    <w:top w:val="single" w:color="auto" w:sz="2" w:space="0"/>
                    <w:left w:val="single" w:color="auto" w:sz="2" w:space="0"/>
                    <w:right w:val="single" w:color="auto" w:sz="2" w:space="0"/>
                  </w:tcBorders>
                  <w:vAlign w:val="center"/>
                </w:tcPr>
                <w:p w14:paraId="28849656">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在厂房外设置监控点</w:t>
                  </w:r>
                </w:p>
              </w:tc>
            </w:tr>
            <w:tr w14:paraId="07BCEF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12" w:type="pct"/>
                  <w:vMerge w:val="continue"/>
                  <w:tcBorders>
                    <w:top w:val="single" w:color="auto" w:sz="2" w:space="0"/>
                    <w:left w:val="nil"/>
                    <w:right w:val="single" w:color="auto" w:sz="2" w:space="0"/>
                  </w:tcBorders>
                  <w:vAlign w:val="center"/>
                </w:tcPr>
                <w:p w14:paraId="4EB5127D">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c>
                <w:tcPr>
                  <w:tcW w:w="890" w:type="pct"/>
                  <w:tcBorders>
                    <w:top w:val="single" w:color="auto" w:sz="2" w:space="0"/>
                    <w:left w:val="single" w:color="auto" w:sz="2" w:space="0"/>
                    <w:right w:val="single" w:color="auto" w:sz="2" w:space="0"/>
                  </w:tcBorders>
                  <w:vAlign w:val="center"/>
                </w:tcPr>
                <w:p w14:paraId="3ABCF49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20</w:t>
                  </w:r>
                </w:p>
              </w:tc>
              <w:tc>
                <w:tcPr>
                  <w:tcW w:w="2132" w:type="pct"/>
                  <w:tcBorders>
                    <w:top w:val="single" w:color="auto" w:sz="2" w:space="0"/>
                    <w:left w:val="single" w:color="auto" w:sz="2" w:space="0"/>
                  </w:tcBorders>
                  <w:vAlign w:val="center"/>
                </w:tcPr>
                <w:p w14:paraId="40008F2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监控点处任意一次浓度值</w:t>
                  </w:r>
                </w:p>
              </w:tc>
              <w:tc>
                <w:tcPr>
                  <w:tcW w:w="1164" w:type="pct"/>
                  <w:vMerge w:val="continue"/>
                  <w:vAlign w:val="center"/>
                </w:tcPr>
                <w:p w14:paraId="742FFC8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bl>
          <w:p w14:paraId="547EAFFF">
            <w:pPr>
              <w:ind w:firstLine="482"/>
              <w:rPr>
                <w:b/>
                <w:bCs/>
                <w:color w:val="auto"/>
              </w:rPr>
            </w:pPr>
            <w:r>
              <w:rPr>
                <w:b/>
                <w:bCs/>
                <w:color w:val="auto"/>
              </w:rPr>
              <w:t>2、废水</w:t>
            </w:r>
          </w:p>
          <w:p w14:paraId="0BDC68ED">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1"/>
                <w:lang w:val="en-US" w:eastAsia="zh-CN" w:bidi="ar-SA"/>
              </w:rPr>
              <w:t>本项目仅排放生活污水，循环冷却水循环使用，仅添加，不外排，生活污水经化粪池预处理后通过市政污水管网接入江阴市城南污水处理有限公司集中处理，废水污染物COD、SS接管标准执行《污水综合排放标准》（GB8978-1996）表4中三级标准，氨氮、总磷、总氮接管标准执行《污水排入城镇下水道水质标准</w:t>
            </w:r>
            <w:r>
              <w:rPr>
                <w:rFonts w:ascii="Times New Roman" w:hAnsi="Times New Roman" w:eastAsia="宋体" w:cs="Times New Roman"/>
                <w:color w:val="auto"/>
                <w:kern w:val="2"/>
                <w:sz w:val="24"/>
                <w:szCs w:val="24"/>
                <w:lang w:val="en-US" w:eastAsia="zh-CN" w:bidi="ar-SA"/>
              </w:rPr>
              <w:t>》(GB/T31962-2015)表1中A级标准，</w:t>
            </w:r>
            <w:r>
              <w:rPr>
                <w:rFonts w:hint="eastAsia" w:ascii="Times New Roman" w:hAnsi="Times New Roman" w:eastAsia="宋体" w:cs="Times New Roman"/>
                <w:color w:val="auto"/>
                <w:kern w:val="2"/>
                <w:sz w:val="24"/>
                <w:szCs w:val="24"/>
                <w:lang w:val="en-US" w:eastAsia="zh-CN" w:bidi="ar-SA"/>
              </w:rPr>
              <w:t>江阴市城南污水处理有限公司</w:t>
            </w:r>
            <w:r>
              <w:rPr>
                <w:rFonts w:ascii="Times New Roman" w:hAnsi="Times New Roman" w:eastAsia="宋体" w:cs="Times New Roman"/>
                <w:color w:val="auto"/>
                <w:kern w:val="2"/>
                <w:sz w:val="24"/>
                <w:szCs w:val="24"/>
                <w:lang w:val="en-US" w:eastAsia="zh-CN" w:bidi="ar-SA"/>
              </w:rPr>
              <w:t>处理出水</w:t>
            </w:r>
            <w:r>
              <w:rPr>
                <w:rFonts w:hint="eastAsia" w:ascii="Times New Roman" w:hAnsi="Times New Roman" w:eastAsia="宋体" w:cs="Times New Roman"/>
                <w:color w:val="auto"/>
                <w:kern w:val="2"/>
                <w:sz w:val="24"/>
                <w:szCs w:val="24"/>
                <w:lang w:val="en-US" w:eastAsia="zh-CN" w:bidi="ar-SA"/>
              </w:rPr>
              <w:t>COD、总氮执行《太湖地区城镇污水处理厂及重点工业行业主要水污染物排放限值》（DB32/1072-2018）中表2标准，氨氮、总磷执行《地表水环境质量标准》（GB3838-2002）Ⅲ类标准，pH、SS执行《城镇污水处理厂污染物排放标准》（GB18918-2002）一级A标准</w:t>
            </w:r>
            <w:r>
              <w:rPr>
                <w:rFonts w:ascii="Times New Roman" w:hAnsi="Times New Roman" w:eastAsia="宋体" w:cs="Times New Roman"/>
                <w:color w:val="auto"/>
                <w:kern w:val="2"/>
                <w:sz w:val="24"/>
                <w:szCs w:val="24"/>
                <w:lang w:val="en-US" w:eastAsia="zh-CN" w:bidi="ar-SA"/>
              </w:rPr>
              <w:t>，具体见表3-</w:t>
            </w:r>
            <w:r>
              <w:rPr>
                <w:rFonts w:hint="eastAsia" w:ascii="Times New Roman" w:hAnsi="Times New Roman" w:eastAsia="宋体" w:cs="Times New Roman"/>
                <w:color w:val="auto"/>
                <w:kern w:val="2"/>
                <w:sz w:val="24"/>
                <w:szCs w:val="24"/>
                <w:lang w:val="en-US" w:eastAsia="zh-CN" w:bidi="ar-SA"/>
              </w:rPr>
              <w:t>9</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循环冷却水回用执行《城市污水再生利用 工业用水水质》（GB/T 19923-2024）表1（间冷开式循环冷却水补充水）限值，详见表3-10。</w:t>
            </w:r>
          </w:p>
          <w:p w14:paraId="302BD094">
            <w:pPr>
              <w:adjustRightInd w:val="0"/>
              <w:snapToGrid w:val="0"/>
              <w:spacing w:line="240" w:lineRule="auto"/>
              <w:ind w:firstLine="482"/>
              <w:jc w:val="center"/>
              <w:rPr>
                <w:rFonts w:ascii="Times New Roman" w:hAnsi="Times New Roman" w:cs="Times New Roman"/>
                <w:b/>
                <w:bCs/>
                <w:color w:val="auto"/>
                <w:szCs w:val="24"/>
              </w:rPr>
            </w:pPr>
            <w:r>
              <w:rPr>
                <w:rFonts w:ascii="Times New Roman" w:hAnsi="Times New Roman" w:cs="Times New Roman"/>
                <w:b/>
                <w:bCs/>
                <w:color w:val="auto"/>
                <w:szCs w:val="24"/>
              </w:rPr>
              <w:t>表3-</w:t>
            </w:r>
            <w:r>
              <w:rPr>
                <w:rFonts w:hint="eastAsia" w:ascii="Times New Roman" w:hAnsi="Times New Roman" w:cs="Times New Roman"/>
                <w:b/>
                <w:bCs/>
                <w:color w:val="auto"/>
                <w:szCs w:val="24"/>
              </w:rPr>
              <w:t>9</w:t>
            </w:r>
            <w:r>
              <w:rPr>
                <w:rFonts w:ascii="Times New Roman" w:hAnsi="Times New Roman" w:cs="Times New Roman"/>
                <w:b/>
                <w:bCs/>
                <w:color w:val="auto"/>
                <w:szCs w:val="24"/>
              </w:rPr>
              <w:t>污水接管标准和排放标准（单位：mg/L，pH无量纲）</w:t>
            </w:r>
          </w:p>
          <w:tbl>
            <w:tblPr>
              <w:tblStyle w:val="28"/>
              <w:tblW w:w="4984"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9"/>
              <w:gridCol w:w="3388"/>
              <w:gridCol w:w="2712"/>
            </w:tblGrid>
            <w:tr w14:paraId="6B3A334C">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48" w:type="pct"/>
                  <w:tcBorders>
                    <w:top w:val="single" w:color="000000" w:sz="12" w:space="0"/>
                    <w:left w:val="nil"/>
                  </w:tcBorders>
                  <w:vAlign w:val="center"/>
                </w:tcPr>
                <w:p w14:paraId="29466DE0">
                  <w:pPr>
                    <w:widowControl w:val="0"/>
                    <w:bidi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项目</w:t>
                  </w:r>
                </w:p>
              </w:tc>
              <w:tc>
                <w:tcPr>
                  <w:tcW w:w="2194" w:type="pct"/>
                  <w:tcBorders>
                    <w:top w:val="single" w:color="000000" w:sz="12" w:space="0"/>
                  </w:tcBorders>
                  <w:vAlign w:val="center"/>
                </w:tcPr>
                <w:p w14:paraId="7E6B3D93">
                  <w:pPr>
                    <w:widowControl w:val="0"/>
                    <w:bidi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污水处理厂接管标准</w:t>
                  </w:r>
                </w:p>
              </w:tc>
              <w:tc>
                <w:tcPr>
                  <w:tcW w:w="1756" w:type="pct"/>
                  <w:tcBorders>
                    <w:top w:val="single" w:color="000000" w:sz="12" w:space="0"/>
                    <w:bottom w:val="single" w:color="auto" w:sz="4" w:space="0"/>
                    <w:right w:val="nil"/>
                  </w:tcBorders>
                  <w:vAlign w:val="center"/>
                </w:tcPr>
                <w:p w14:paraId="7169962C">
                  <w:pPr>
                    <w:widowControl w:val="0"/>
                    <w:bidi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排放标准</w:t>
                  </w:r>
                </w:p>
              </w:tc>
            </w:tr>
            <w:tr w14:paraId="012318AE">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48" w:type="pct"/>
                  <w:tcBorders>
                    <w:top w:val="single" w:color="auto" w:sz="4" w:space="0"/>
                    <w:left w:val="nil"/>
                  </w:tcBorders>
                  <w:vAlign w:val="center"/>
                </w:tcPr>
                <w:p w14:paraId="7C6A466B">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pH</w:t>
                  </w:r>
                </w:p>
              </w:tc>
              <w:tc>
                <w:tcPr>
                  <w:tcW w:w="2194" w:type="pct"/>
                  <w:tcBorders>
                    <w:top w:val="single" w:color="auto" w:sz="4" w:space="0"/>
                  </w:tcBorders>
                  <w:vAlign w:val="center"/>
                </w:tcPr>
                <w:p w14:paraId="20DAF580">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6～9</w:t>
                  </w:r>
                </w:p>
              </w:tc>
              <w:tc>
                <w:tcPr>
                  <w:tcW w:w="1756" w:type="pct"/>
                  <w:tcBorders>
                    <w:top w:val="single" w:color="auto" w:sz="4" w:space="0"/>
                    <w:right w:val="nil"/>
                  </w:tcBorders>
                  <w:vAlign w:val="center"/>
                </w:tcPr>
                <w:p w14:paraId="6DC0898F">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6~9</w:t>
                  </w:r>
                </w:p>
              </w:tc>
            </w:tr>
            <w:tr w14:paraId="65260561">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48" w:type="pct"/>
                  <w:tcBorders>
                    <w:left w:val="nil"/>
                  </w:tcBorders>
                  <w:vAlign w:val="center"/>
                </w:tcPr>
                <w:p w14:paraId="59AB2368">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COD</w:t>
                  </w:r>
                </w:p>
              </w:tc>
              <w:tc>
                <w:tcPr>
                  <w:tcW w:w="2194" w:type="pct"/>
                  <w:vAlign w:val="center"/>
                </w:tcPr>
                <w:p w14:paraId="3563AE16">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500</w:t>
                  </w:r>
                </w:p>
              </w:tc>
              <w:tc>
                <w:tcPr>
                  <w:tcW w:w="1756" w:type="pct"/>
                  <w:tcBorders>
                    <w:right w:val="nil"/>
                  </w:tcBorders>
                  <w:vAlign w:val="center"/>
                </w:tcPr>
                <w:p w14:paraId="53E00F3C">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50</w:t>
                  </w:r>
                </w:p>
              </w:tc>
            </w:tr>
            <w:tr w14:paraId="785EF461">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48" w:type="pct"/>
                  <w:tcBorders>
                    <w:left w:val="nil"/>
                  </w:tcBorders>
                  <w:vAlign w:val="center"/>
                </w:tcPr>
                <w:p w14:paraId="6E00A6CB">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SS</w:t>
                  </w:r>
                </w:p>
              </w:tc>
              <w:tc>
                <w:tcPr>
                  <w:tcW w:w="2194" w:type="pct"/>
                  <w:vAlign w:val="center"/>
                </w:tcPr>
                <w:p w14:paraId="1ADCC1CE">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400</w:t>
                  </w:r>
                </w:p>
              </w:tc>
              <w:tc>
                <w:tcPr>
                  <w:tcW w:w="1756" w:type="pct"/>
                  <w:tcBorders>
                    <w:right w:val="nil"/>
                  </w:tcBorders>
                  <w:vAlign w:val="center"/>
                </w:tcPr>
                <w:p w14:paraId="5AF26F69">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10</w:t>
                  </w:r>
                </w:p>
              </w:tc>
            </w:tr>
            <w:tr w14:paraId="00922DF1">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048" w:type="pct"/>
                  <w:tcBorders>
                    <w:left w:val="nil"/>
                  </w:tcBorders>
                  <w:vAlign w:val="center"/>
                </w:tcPr>
                <w:p w14:paraId="0212D1A4">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氨氮</w:t>
                  </w:r>
                </w:p>
              </w:tc>
              <w:tc>
                <w:tcPr>
                  <w:tcW w:w="2194" w:type="pct"/>
                  <w:vAlign w:val="center"/>
                </w:tcPr>
                <w:p w14:paraId="193ED8C6">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45</w:t>
                  </w:r>
                </w:p>
              </w:tc>
              <w:tc>
                <w:tcPr>
                  <w:tcW w:w="1756" w:type="pct"/>
                  <w:tcBorders>
                    <w:right w:val="nil"/>
                  </w:tcBorders>
                  <w:vAlign w:val="center"/>
                </w:tcPr>
                <w:p w14:paraId="22CB50BC">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14:paraId="5FE9B10A">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48" w:type="pct"/>
                  <w:tcBorders>
                    <w:left w:val="nil"/>
                  </w:tcBorders>
                  <w:vAlign w:val="center"/>
                </w:tcPr>
                <w:p w14:paraId="4E5B3DB7">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总磷</w:t>
                  </w:r>
                </w:p>
              </w:tc>
              <w:tc>
                <w:tcPr>
                  <w:tcW w:w="2194" w:type="pct"/>
                  <w:vAlign w:val="center"/>
                </w:tcPr>
                <w:p w14:paraId="087A8EDD">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8</w:t>
                  </w:r>
                </w:p>
              </w:tc>
              <w:tc>
                <w:tcPr>
                  <w:tcW w:w="1756" w:type="pct"/>
                  <w:tcBorders>
                    <w:right w:val="nil"/>
                  </w:tcBorders>
                  <w:vAlign w:val="center"/>
                </w:tcPr>
                <w:p w14:paraId="38AC9717">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w:t>
                  </w:r>
                </w:p>
              </w:tc>
            </w:tr>
            <w:tr w14:paraId="4864AD16">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48" w:type="pct"/>
                  <w:tcBorders>
                    <w:left w:val="nil"/>
                  </w:tcBorders>
                  <w:vAlign w:val="center"/>
                </w:tcPr>
                <w:p w14:paraId="3652C75D">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总氮</w:t>
                  </w:r>
                </w:p>
              </w:tc>
              <w:tc>
                <w:tcPr>
                  <w:tcW w:w="2194" w:type="pct"/>
                  <w:vAlign w:val="center"/>
                </w:tcPr>
                <w:p w14:paraId="52EFF2EF">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70</w:t>
                  </w:r>
                </w:p>
              </w:tc>
              <w:tc>
                <w:tcPr>
                  <w:tcW w:w="1756" w:type="pct"/>
                  <w:tcBorders>
                    <w:right w:val="nil"/>
                  </w:tcBorders>
                  <w:vAlign w:val="center"/>
                </w:tcPr>
                <w:p w14:paraId="0274DB9C">
                  <w:pPr>
                    <w:widowControl w:val="0"/>
                    <w:bidi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12</w:t>
                  </w:r>
                </w:p>
              </w:tc>
            </w:tr>
          </w:tbl>
          <w:p w14:paraId="0E51FD94">
            <w:pPr>
              <w:snapToGrid w:val="0"/>
              <w:spacing w:line="240" w:lineRule="auto"/>
              <w:ind w:firstLine="482"/>
              <w:jc w:val="center"/>
              <w:rPr>
                <w:rFonts w:hint="eastAsia" w:ascii="Times New Roman" w:hAnsi="Times New Roman" w:cs="Times New Roman"/>
                <w:b/>
                <w:bCs/>
                <w:color w:val="auto"/>
                <w:szCs w:val="24"/>
              </w:rPr>
            </w:pPr>
          </w:p>
          <w:p w14:paraId="6468F73C">
            <w:pPr>
              <w:snapToGrid w:val="0"/>
              <w:spacing w:line="240" w:lineRule="auto"/>
              <w:ind w:firstLine="482"/>
              <w:jc w:val="center"/>
              <w:rPr>
                <w:rFonts w:ascii="Times New Roman" w:hAnsi="Times New Roman" w:cs="Times New Roman"/>
                <w:color w:val="auto"/>
                <w:sz w:val="21"/>
              </w:rPr>
            </w:pPr>
            <w:r>
              <w:rPr>
                <w:rFonts w:hint="eastAsia" w:ascii="Times New Roman" w:hAnsi="Times New Roman" w:cs="Times New Roman"/>
                <w:b/>
                <w:bCs/>
                <w:color w:val="auto"/>
                <w:szCs w:val="24"/>
              </w:rPr>
              <w:t>表3-10 循环冷却水回用标准（单位：mg/L，pH无量纲）</w:t>
            </w:r>
          </w:p>
          <w:tbl>
            <w:tblPr>
              <w:tblStyle w:val="29"/>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1356"/>
              <w:gridCol w:w="3730"/>
            </w:tblGrid>
            <w:tr w14:paraId="27C8C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9" w:type="pct"/>
                  <w:tcBorders>
                    <w:top w:val="single" w:color="auto" w:sz="12" w:space="0"/>
                    <w:bottom w:val="single" w:color="auto" w:sz="12" w:space="0"/>
                  </w:tcBorders>
                  <w:vAlign w:val="center"/>
                </w:tcPr>
                <w:p w14:paraId="0D6C5551">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控制项目</w:t>
                  </w:r>
                </w:p>
              </w:tc>
              <w:tc>
                <w:tcPr>
                  <w:tcW w:w="874" w:type="pct"/>
                  <w:tcBorders>
                    <w:top w:val="single" w:color="auto" w:sz="12" w:space="0"/>
                    <w:bottom w:val="single" w:color="auto" w:sz="12" w:space="0"/>
                  </w:tcBorders>
                  <w:vAlign w:val="center"/>
                </w:tcPr>
                <w:p w14:paraId="4937798A">
                  <w:pPr>
                    <w:widowControl w:val="0"/>
                    <w:snapToGrid w:val="0"/>
                    <w:spacing w:line="240" w:lineRule="auto"/>
                    <w:ind w:firstLine="0" w:firstLineChars="0"/>
                    <w:jc w:val="center"/>
                    <w:rPr>
                      <w:rFonts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pH</w:t>
                  </w:r>
                </w:p>
              </w:tc>
              <w:tc>
                <w:tcPr>
                  <w:tcW w:w="2405" w:type="pct"/>
                  <w:tcBorders>
                    <w:top w:val="single" w:color="auto" w:sz="12" w:space="0"/>
                    <w:bottom w:val="single" w:color="auto" w:sz="12" w:space="0"/>
                  </w:tcBorders>
                  <w:vAlign w:val="center"/>
                </w:tcPr>
                <w:p w14:paraId="18CFB835">
                  <w:pPr>
                    <w:widowControl w:val="0"/>
                    <w:snapToGrid w:val="0"/>
                    <w:spacing w:line="240" w:lineRule="auto"/>
                    <w:ind w:firstLine="0" w:firstLineChars="0"/>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溶解性总固体</w:t>
                  </w:r>
                </w:p>
              </w:tc>
            </w:tr>
            <w:tr w14:paraId="30B1F9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9" w:type="pct"/>
                  <w:tcBorders>
                    <w:top w:val="single" w:color="auto" w:sz="12" w:space="0"/>
                  </w:tcBorders>
                  <w:vAlign w:val="center"/>
                </w:tcPr>
                <w:p w14:paraId="3B0AB44B">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标准值</w:t>
                  </w:r>
                </w:p>
              </w:tc>
              <w:tc>
                <w:tcPr>
                  <w:tcW w:w="874" w:type="pct"/>
                  <w:tcBorders>
                    <w:top w:val="single" w:color="auto" w:sz="12" w:space="0"/>
                  </w:tcBorders>
                  <w:vAlign w:val="center"/>
                </w:tcPr>
                <w:p w14:paraId="027577BD">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6~9</w:t>
                  </w:r>
                </w:p>
              </w:tc>
              <w:tc>
                <w:tcPr>
                  <w:tcW w:w="2405" w:type="pct"/>
                  <w:tcBorders>
                    <w:top w:val="single" w:color="auto" w:sz="12" w:space="0"/>
                  </w:tcBorders>
                  <w:vAlign w:val="center"/>
                </w:tcPr>
                <w:p w14:paraId="4A071CEE">
                  <w:pPr>
                    <w:widowControl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1000</w:t>
                  </w:r>
                </w:p>
              </w:tc>
            </w:tr>
          </w:tbl>
          <w:p w14:paraId="1597577D">
            <w:pPr>
              <w:pStyle w:val="44"/>
              <w:adjustRightInd w:val="0"/>
              <w:snapToGrid w:val="0"/>
              <w:ind w:firstLine="482"/>
              <w:rPr>
                <w:b/>
                <w:bCs/>
                <w:color w:val="auto"/>
                <w:szCs w:val="24"/>
              </w:rPr>
            </w:pPr>
            <w:r>
              <w:rPr>
                <w:b/>
                <w:bCs/>
                <w:color w:val="auto"/>
                <w:szCs w:val="24"/>
              </w:rPr>
              <w:t>3、厂界噪声</w:t>
            </w:r>
          </w:p>
          <w:p w14:paraId="6A0420E3">
            <w:pPr>
              <w:pStyle w:val="44"/>
              <w:adjustRightInd w:val="0"/>
              <w:snapToGrid w:val="0"/>
              <w:ind w:firstLine="480"/>
              <w:rPr>
                <w:color w:val="auto"/>
                <w:szCs w:val="24"/>
              </w:rPr>
            </w:pPr>
            <w:r>
              <w:rPr>
                <w:color w:val="auto"/>
                <w:szCs w:val="24"/>
              </w:rPr>
              <w:t>根据市政府办公室</w:t>
            </w:r>
            <w:r>
              <w:rPr>
                <w:rFonts w:hint="eastAsia"/>
                <w:color w:val="auto"/>
                <w:szCs w:val="24"/>
                <w:lang w:eastAsia="zh-CN"/>
              </w:rPr>
              <w:t>《关于印发</w:t>
            </w:r>
            <w:r>
              <w:rPr>
                <w:rFonts w:hint="eastAsia"/>
                <w:color w:val="auto"/>
                <w:szCs w:val="24"/>
                <w:lang w:val="en-US" w:eastAsia="zh-CN"/>
              </w:rPr>
              <w:t>&lt;</w:t>
            </w:r>
            <w:r>
              <w:rPr>
                <w:rFonts w:hint="eastAsia"/>
                <w:color w:val="auto"/>
                <w:szCs w:val="24"/>
                <w:lang w:eastAsia="zh-CN"/>
              </w:rPr>
              <w:t>江阴市声环境功能区划分调整方案</w:t>
            </w:r>
            <w:r>
              <w:rPr>
                <w:rFonts w:hint="eastAsia"/>
                <w:color w:val="auto"/>
                <w:szCs w:val="24"/>
                <w:lang w:val="en-US" w:eastAsia="zh-CN"/>
              </w:rPr>
              <w:t>&gt;</w:t>
            </w:r>
            <w:r>
              <w:rPr>
                <w:rFonts w:hint="eastAsia"/>
                <w:color w:val="auto"/>
                <w:szCs w:val="24"/>
                <w:lang w:eastAsia="zh-CN"/>
              </w:rPr>
              <w:t>的通知》</w:t>
            </w:r>
            <w:r>
              <w:rPr>
                <w:rFonts w:hint="eastAsia"/>
                <w:color w:val="auto"/>
                <w:szCs w:val="24"/>
              </w:rPr>
              <w:t>（澄政办发〔2020〕71号）</w:t>
            </w:r>
            <w:r>
              <w:rPr>
                <w:color w:val="auto"/>
                <w:szCs w:val="24"/>
              </w:rPr>
              <w:t>，本项目位于3类声环境功能区，厂界噪声执行《工业企业厂界环境噪声排放标准》（GB12348-2008）表1中3类标准，详见表3-</w:t>
            </w:r>
            <w:r>
              <w:rPr>
                <w:rFonts w:hint="eastAsia"/>
                <w:color w:val="auto"/>
                <w:szCs w:val="24"/>
                <w:lang w:val="en-US" w:eastAsia="zh-CN"/>
              </w:rPr>
              <w:t>11</w:t>
            </w:r>
            <w:r>
              <w:rPr>
                <w:color w:val="auto"/>
                <w:szCs w:val="24"/>
              </w:rPr>
              <w:t>。</w:t>
            </w:r>
          </w:p>
          <w:p w14:paraId="3B6E936F">
            <w:pPr>
              <w:adjustRightInd w:val="0"/>
              <w:snapToGrid w:val="0"/>
              <w:spacing w:line="240" w:lineRule="auto"/>
              <w:ind w:firstLine="482"/>
              <w:jc w:val="center"/>
              <w:rPr>
                <w:b/>
                <w:bCs/>
                <w:color w:val="auto"/>
                <w:szCs w:val="24"/>
              </w:rPr>
            </w:pPr>
            <w:r>
              <w:rPr>
                <w:b/>
                <w:bCs/>
                <w:color w:val="auto"/>
                <w:szCs w:val="24"/>
              </w:rPr>
              <w:t>表3-</w:t>
            </w:r>
            <w:r>
              <w:rPr>
                <w:rFonts w:hint="eastAsia"/>
                <w:b/>
                <w:bCs/>
                <w:color w:val="auto"/>
                <w:szCs w:val="24"/>
              </w:rPr>
              <w:t>1</w:t>
            </w:r>
            <w:r>
              <w:rPr>
                <w:rFonts w:hint="eastAsia"/>
                <w:b/>
                <w:bCs/>
                <w:color w:val="auto"/>
                <w:szCs w:val="24"/>
                <w:lang w:val="en-US" w:eastAsia="zh-CN"/>
              </w:rPr>
              <w:t>1</w:t>
            </w:r>
            <w:r>
              <w:rPr>
                <w:b/>
                <w:bCs/>
                <w:color w:val="auto"/>
                <w:szCs w:val="24"/>
              </w:rPr>
              <w:t>工业企业厂界环境噪声排放限值（单位：dB(A)）</w:t>
            </w:r>
          </w:p>
          <w:tbl>
            <w:tblPr>
              <w:tblStyle w:val="28"/>
              <w:tblW w:w="5063" w:type="pct"/>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2362"/>
              <w:gridCol w:w="2365"/>
            </w:tblGrid>
            <w:tr w14:paraId="28480C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Borders>
                    <w:bottom w:val="single" w:color="auto" w:sz="4" w:space="0"/>
                  </w:tcBorders>
                  <w:vAlign w:val="center"/>
                </w:tcPr>
                <w:p w14:paraId="1C1AE38A">
                  <w:pPr>
                    <w:pStyle w:val="42"/>
                    <w:rPr>
                      <w:color w:val="auto"/>
                    </w:rPr>
                  </w:pPr>
                  <w:r>
                    <w:rPr>
                      <w:b/>
                      <w:bCs/>
                      <w:color w:val="auto"/>
                    </w:rPr>
                    <w:t>标准</w:t>
                  </w:r>
                </w:p>
              </w:tc>
              <w:tc>
                <w:tcPr>
                  <w:tcW w:w="1504" w:type="pct"/>
                  <w:tcBorders>
                    <w:bottom w:val="single" w:color="auto" w:sz="4" w:space="0"/>
                  </w:tcBorders>
                  <w:vAlign w:val="center"/>
                </w:tcPr>
                <w:p w14:paraId="4E97F348">
                  <w:pPr>
                    <w:pStyle w:val="42"/>
                    <w:rPr>
                      <w:b/>
                      <w:bCs/>
                      <w:color w:val="auto"/>
                    </w:rPr>
                  </w:pPr>
                  <w:r>
                    <w:rPr>
                      <w:b/>
                      <w:bCs/>
                      <w:color w:val="auto"/>
                    </w:rPr>
                    <w:t>昼间（6:00-22:00）</w:t>
                  </w:r>
                </w:p>
              </w:tc>
              <w:tc>
                <w:tcPr>
                  <w:tcW w:w="1506" w:type="pct"/>
                  <w:tcBorders>
                    <w:bottom w:val="single" w:color="auto" w:sz="4" w:space="0"/>
                  </w:tcBorders>
                  <w:vAlign w:val="center"/>
                </w:tcPr>
                <w:p w14:paraId="365CFC4E">
                  <w:pPr>
                    <w:pStyle w:val="42"/>
                    <w:rPr>
                      <w:b/>
                      <w:bCs/>
                      <w:color w:val="auto"/>
                    </w:rPr>
                  </w:pPr>
                  <w:r>
                    <w:rPr>
                      <w:b/>
                      <w:bCs/>
                      <w:color w:val="auto"/>
                    </w:rPr>
                    <w:t>夜间（22:00-6:00）</w:t>
                  </w:r>
                </w:p>
              </w:tc>
            </w:tr>
            <w:tr w14:paraId="3A900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Borders>
                    <w:top w:val="single" w:color="auto" w:sz="4" w:space="0"/>
                    <w:tl2br w:val="nil"/>
                    <w:tr2bl w:val="nil"/>
                  </w:tcBorders>
                  <w:vAlign w:val="center"/>
                </w:tcPr>
                <w:p w14:paraId="6F11DED4">
                  <w:pPr>
                    <w:pStyle w:val="42"/>
                    <w:rPr>
                      <w:color w:val="auto"/>
                    </w:rPr>
                  </w:pPr>
                  <w:r>
                    <w:rPr>
                      <w:color w:val="auto"/>
                    </w:rPr>
                    <w:t>《工业企业厂界环境噪声排放标准》（GBl2348-2008）</w:t>
                  </w:r>
                </w:p>
              </w:tc>
              <w:tc>
                <w:tcPr>
                  <w:tcW w:w="1504" w:type="pct"/>
                  <w:tcBorders>
                    <w:top w:val="single" w:color="auto" w:sz="4" w:space="0"/>
                    <w:tl2br w:val="nil"/>
                    <w:tr2bl w:val="nil"/>
                  </w:tcBorders>
                  <w:vAlign w:val="center"/>
                </w:tcPr>
                <w:p w14:paraId="1B9E696C">
                  <w:pPr>
                    <w:pStyle w:val="42"/>
                    <w:rPr>
                      <w:color w:val="auto"/>
                    </w:rPr>
                  </w:pPr>
                  <w:r>
                    <w:rPr>
                      <w:color w:val="auto"/>
                    </w:rPr>
                    <w:t>65</w:t>
                  </w:r>
                </w:p>
              </w:tc>
              <w:tc>
                <w:tcPr>
                  <w:tcW w:w="1506" w:type="pct"/>
                  <w:tcBorders>
                    <w:top w:val="single" w:color="auto" w:sz="4" w:space="0"/>
                    <w:tl2br w:val="nil"/>
                    <w:tr2bl w:val="nil"/>
                  </w:tcBorders>
                  <w:vAlign w:val="center"/>
                </w:tcPr>
                <w:p w14:paraId="273F1832">
                  <w:pPr>
                    <w:pStyle w:val="42"/>
                    <w:rPr>
                      <w:color w:val="auto"/>
                    </w:rPr>
                  </w:pPr>
                  <w:r>
                    <w:rPr>
                      <w:color w:val="auto"/>
                    </w:rPr>
                    <w:t>55</w:t>
                  </w:r>
                </w:p>
              </w:tc>
            </w:tr>
          </w:tbl>
          <w:p w14:paraId="424FF8B8">
            <w:pPr>
              <w:pStyle w:val="44"/>
              <w:adjustRightInd w:val="0"/>
              <w:snapToGrid w:val="0"/>
              <w:ind w:firstLine="482"/>
              <w:rPr>
                <w:b/>
                <w:bCs/>
                <w:color w:val="auto"/>
                <w:szCs w:val="24"/>
              </w:rPr>
            </w:pPr>
            <w:r>
              <w:rPr>
                <w:b/>
                <w:bCs/>
                <w:color w:val="auto"/>
                <w:szCs w:val="24"/>
              </w:rPr>
              <w:t>4、固废贮存标准</w:t>
            </w:r>
          </w:p>
          <w:p w14:paraId="11057EC4">
            <w:pPr>
              <w:pStyle w:val="44"/>
              <w:adjustRightInd w:val="0"/>
              <w:snapToGrid w:val="0"/>
              <w:ind w:firstLine="480"/>
              <w:rPr>
                <w:color w:val="auto"/>
                <w:szCs w:val="24"/>
              </w:rPr>
            </w:pPr>
            <w:r>
              <w:rPr>
                <w:color w:val="auto"/>
                <w:szCs w:val="24"/>
              </w:rPr>
              <w:t>本项目一般工业固废的暂存需满足</w:t>
            </w:r>
            <w:r>
              <w:rPr>
                <w:rFonts w:hint="eastAsia"/>
                <w:color w:val="auto"/>
                <w:szCs w:val="24"/>
                <w:lang w:eastAsia="zh-CN"/>
              </w:rPr>
              <w:t>《</w:t>
            </w:r>
            <w:r>
              <w:rPr>
                <w:rFonts w:hint="eastAsia"/>
                <w:color w:val="auto"/>
                <w:szCs w:val="24"/>
              </w:rPr>
              <w:t>一般工业固体废物贮存和填埋污染控制标准》（GB18599-2020）中相关规定</w:t>
            </w:r>
            <w:r>
              <w:rPr>
                <w:color w:val="auto"/>
                <w:szCs w:val="24"/>
              </w:rPr>
              <w:t>。危险废物执行《危险废物贮存污染控制标准》（GB18597-2023）、《危险废物收集储存运输技术规范》（HJ2025-2012）、《关于印发江苏省危险废物贮存规范化管理专项整治行动方案的通知》（苏环办</w:t>
            </w:r>
            <w:r>
              <w:rPr>
                <w:bCs/>
                <w:color w:val="auto"/>
                <w:szCs w:val="24"/>
              </w:rPr>
              <w:t>〔2019〕</w:t>
            </w:r>
            <w:r>
              <w:rPr>
                <w:color w:val="auto"/>
                <w:szCs w:val="24"/>
              </w:rPr>
              <w:t>149号）、《省生态环境厅关于进一步加强危险废物环境管理工作的通知》（苏环办</w:t>
            </w:r>
            <w:r>
              <w:rPr>
                <w:bCs/>
                <w:color w:val="auto"/>
                <w:szCs w:val="24"/>
              </w:rPr>
              <w:t>〔2021〕</w:t>
            </w:r>
            <w:r>
              <w:rPr>
                <w:color w:val="auto"/>
                <w:szCs w:val="24"/>
              </w:rPr>
              <w:t>207号）、《省生态环境厅关于做好江苏省危险废物全生命周期监控系统上线运行工作的通知（苏环办</w:t>
            </w:r>
            <w:r>
              <w:rPr>
                <w:bCs/>
                <w:color w:val="auto"/>
                <w:szCs w:val="24"/>
              </w:rPr>
              <w:t>〔2020〕</w:t>
            </w:r>
            <w:r>
              <w:rPr>
                <w:color w:val="auto"/>
                <w:szCs w:val="24"/>
              </w:rPr>
              <w:t>401号）、《省生态环境厅关于印发《江苏省固体废物全过程环境监管工作意见》的通知》（苏环办</w:t>
            </w:r>
            <w:r>
              <w:rPr>
                <w:bCs/>
                <w:color w:val="auto"/>
                <w:szCs w:val="24"/>
              </w:rPr>
              <w:t>〔2024〕</w:t>
            </w:r>
            <w:r>
              <w:rPr>
                <w:color w:val="auto"/>
                <w:szCs w:val="24"/>
              </w:rPr>
              <w:t>16号）中相关要求。</w:t>
            </w:r>
          </w:p>
          <w:p w14:paraId="1ADCE977">
            <w:pPr>
              <w:pStyle w:val="44"/>
              <w:adjustRightInd w:val="0"/>
              <w:snapToGrid w:val="0"/>
              <w:ind w:firstLine="480"/>
              <w:rPr>
                <w:color w:val="auto"/>
                <w:szCs w:val="24"/>
              </w:rPr>
            </w:pPr>
          </w:p>
          <w:p w14:paraId="27F53FEA">
            <w:pPr>
              <w:pStyle w:val="44"/>
              <w:adjustRightInd w:val="0"/>
              <w:snapToGrid w:val="0"/>
              <w:ind w:firstLine="480"/>
              <w:rPr>
                <w:color w:val="auto"/>
                <w:szCs w:val="24"/>
              </w:rPr>
            </w:pPr>
          </w:p>
          <w:p w14:paraId="0C023207">
            <w:pPr>
              <w:pStyle w:val="44"/>
              <w:adjustRightInd w:val="0"/>
              <w:snapToGrid w:val="0"/>
              <w:ind w:firstLine="480"/>
              <w:rPr>
                <w:color w:val="auto"/>
                <w:szCs w:val="24"/>
              </w:rPr>
            </w:pPr>
          </w:p>
          <w:p w14:paraId="770882A8">
            <w:pPr>
              <w:pStyle w:val="44"/>
              <w:adjustRightInd w:val="0"/>
              <w:snapToGrid w:val="0"/>
              <w:ind w:firstLine="480"/>
              <w:rPr>
                <w:color w:val="auto"/>
                <w:szCs w:val="24"/>
              </w:rPr>
            </w:pPr>
          </w:p>
          <w:p w14:paraId="428244CF">
            <w:pPr>
              <w:pStyle w:val="44"/>
              <w:adjustRightInd w:val="0"/>
              <w:snapToGrid w:val="0"/>
              <w:ind w:firstLine="480"/>
              <w:rPr>
                <w:color w:val="auto"/>
                <w:szCs w:val="24"/>
              </w:rPr>
            </w:pPr>
          </w:p>
        </w:tc>
      </w:tr>
    </w:tbl>
    <w:p w14:paraId="07F5946C">
      <w:pPr>
        <w:ind w:firstLine="480"/>
        <w:rPr>
          <w:color w:val="auto"/>
        </w:rPr>
        <w:sectPr>
          <w:footerReference r:id="rId8" w:type="default"/>
          <w:pgSz w:w="11906" w:h="16838"/>
          <w:pgMar w:top="1440" w:right="1800" w:bottom="1440" w:left="1800" w:header="851" w:footer="992" w:gutter="0"/>
          <w:cols w:space="720" w:num="1"/>
          <w:docGrid w:type="lines" w:linePitch="312" w:charSpace="0"/>
        </w:sectPr>
      </w:pPr>
    </w:p>
    <w:tbl>
      <w:tblPr>
        <w:tblStyle w:val="28"/>
        <w:tblW w:w="134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864"/>
      </w:tblGrid>
      <w:tr w14:paraId="3901F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13" w:hRule="atLeast"/>
          <w:jc w:val="center"/>
        </w:trPr>
        <w:tc>
          <w:tcPr>
            <w:tcW w:w="635" w:type="dxa"/>
            <w:vAlign w:val="center"/>
          </w:tcPr>
          <w:p w14:paraId="734BA968">
            <w:pPr>
              <w:pStyle w:val="42"/>
              <w:rPr>
                <w:color w:val="auto"/>
                <w:kern w:val="0"/>
              </w:rPr>
            </w:pPr>
            <w:r>
              <w:rPr>
                <w:color w:val="auto"/>
                <w:sz w:val="24"/>
                <w:szCs w:val="24"/>
              </w:rPr>
              <w:t>总量控制指标</w:t>
            </w:r>
          </w:p>
        </w:tc>
        <w:tc>
          <w:tcPr>
            <w:tcW w:w="12864" w:type="dxa"/>
            <w:vAlign w:val="center"/>
          </w:tcPr>
          <w:p w14:paraId="38AEE122">
            <w:pPr>
              <w:adjustRightInd w:val="0"/>
              <w:snapToGrid w:val="0"/>
              <w:ind w:firstLine="480"/>
              <w:rPr>
                <w:color w:val="auto"/>
                <w:szCs w:val="24"/>
              </w:rPr>
            </w:pPr>
            <w:r>
              <w:rPr>
                <w:color w:val="auto"/>
                <w:szCs w:val="24"/>
              </w:rPr>
              <w:t>根据《江阴市排污总量指标管理办法（试行）》（澄政办发〔2024〕11号）的要求，结合项目排污特征，确定总量控制因子为：</w:t>
            </w:r>
          </w:p>
          <w:p w14:paraId="27FFB3FD">
            <w:pPr>
              <w:adjustRightInd w:val="0"/>
              <w:snapToGrid w:val="0"/>
              <w:ind w:firstLine="480"/>
              <w:rPr>
                <w:color w:val="auto"/>
                <w:szCs w:val="24"/>
              </w:rPr>
            </w:pPr>
            <w:r>
              <w:rPr>
                <w:color w:val="auto"/>
                <w:szCs w:val="24"/>
              </w:rPr>
              <w:t>废水：COD、NH</w:t>
            </w:r>
            <w:r>
              <w:rPr>
                <w:color w:val="auto"/>
                <w:szCs w:val="24"/>
                <w:vertAlign w:val="subscript"/>
              </w:rPr>
              <w:t>3</w:t>
            </w:r>
            <w:r>
              <w:rPr>
                <w:color w:val="auto"/>
                <w:szCs w:val="24"/>
              </w:rPr>
              <w:t>-N、TP、TN，总量考核指标：SS；</w:t>
            </w:r>
          </w:p>
          <w:p w14:paraId="17A8B433">
            <w:pPr>
              <w:adjustRightInd w:val="0"/>
              <w:snapToGrid w:val="0"/>
              <w:ind w:firstLine="480"/>
              <w:rPr>
                <w:color w:val="auto"/>
                <w:szCs w:val="24"/>
              </w:rPr>
            </w:pPr>
            <w:r>
              <w:rPr>
                <w:color w:val="auto"/>
                <w:szCs w:val="24"/>
              </w:rPr>
              <w:t>废气：非甲烷总烃、颗粒物，总量考核指标：丙烯腈、苯乙烯、</w:t>
            </w:r>
            <w:r>
              <w:rPr>
                <w:rFonts w:hint="eastAsia"/>
                <w:color w:val="auto"/>
                <w:szCs w:val="24"/>
                <w:lang w:val="en-US" w:eastAsia="zh-CN"/>
              </w:rPr>
              <w:t>酚类</w:t>
            </w:r>
            <w:r>
              <w:rPr>
                <w:color w:val="auto"/>
                <w:szCs w:val="24"/>
              </w:rPr>
              <w:t>；</w:t>
            </w:r>
          </w:p>
          <w:p w14:paraId="3E15C059">
            <w:pPr>
              <w:adjustRightInd w:val="0"/>
              <w:snapToGrid w:val="0"/>
              <w:ind w:firstLine="480"/>
              <w:rPr>
                <w:color w:val="auto"/>
                <w:szCs w:val="24"/>
              </w:rPr>
            </w:pPr>
            <w:r>
              <w:rPr>
                <w:color w:val="auto"/>
                <w:szCs w:val="24"/>
              </w:rPr>
              <w:t>固废：各类固废。</w:t>
            </w:r>
          </w:p>
          <w:p w14:paraId="3F84A72C">
            <w:pPr>
              <w:adjustRightInd w:val="0"/>
              <w:snapToGrid w:val="0"/>
              <w:ind w:firstLine="360"/>
              <w:rPr>
                <w:color w:val="auto"/>
                <w:sz w:val="18"/>
                <w:szCs w:val="18"/>
              </w:rPr>
            </w:pPr>
            <w:r>
              <w:rPr>
                <w:color w:val="auto"/>
                <w:sz w:val="18"/>
                <w:szCs w:val="18"/>
              </w:rPr>
              <w:t>注：“/”前指接管量，“/”后指排入外环境的量。</w:t>
            </w:r>
          </w:p>
          <w:p w14:paraId="5F0E0C7D">
            <w:pPr>
              <w:pStyle w:val="44"/>
              <w:adjustRightInd w:val="0"/>
              <w:snapToGrid w:val="0"/>
              <w:ind w:firstLine="480"/>
              <w:rPr>
                <w:color w:val="auto"/>
              </w:rPr>
            </w:pPr>
            <w:r>
              <w:rPr>
                <w:color w:val="auto"/>
                <w:szCs w:val="24"/>
              </w:rPr>
              <w:t>由上表可见，本项目建成后废气污染物排放量为</w:t>
            </w:r>
            <w:r>
              <w:rPr>
                <w:rFonts w:hint="eastAsia"/>
                <w:color w:val="auto"/>
                <w:szCs w:val="24"/>
              </w:rPr>
              <w:t>挥发性有机物（包括非甲烷总烃、丙烯腈、酚类）0.1529</w:t>
            </w:r>
            <w:r>
              <w:rPr>
                <w:color w:val="auto"/>
                <w:szCs w:val="24"/>
              </w:rPr>
              <w:t>t/a</w:t>
            </w:r>
            <w:r>
              <w:rPr>
                <w:rFonts w:hint="eastAsia"/>
                <w:color w:val="auto"/>
                <w:szCs w:val="24"/>
              </w:rPr>
              <w:t>，其中有组织0.0878t/a，无组织0.0651t/a；</w:t>
            </w:r>
            <w:r>
              <w:rPr>
                <w:color w:val="auto"/>
                <w:szCs w:val="24"/>
              </w:rPr>
              <w:t>根据总量控制原则，新增总量在江阴青阳镇内平衡。全厂生活污水接管量为</w:t>
            </w:r>
            <w:r>
              <w:rPr>
                <w:rFonts w:hint="eastAsia"/>
                <w:color w:val="auto"/>
                <w:szCs w:val="24"/>
              </w:rPr>
              <w:t>499.2</w:t>
            </w:r>
            <w:r>
              <w:rPr>
                <w:color w:val="auto"/>
                <w:szCs w:val="24"/>
              </w:rPr>
              <w:t>t/a，COD、氨氮、总磷、总氮接管量分别为0.</w:t>
            </w:r>
            <w:r>
              <w:rPr>
                <w:rFonts w:hint="eastAsia"/>
                <w:color w:val="auto"/>
                <w:szCs w:val="24"/>
              </w:rPr>
              <w:t>2246</w:t>
            </w:r>
            <w:r>
              <w:rPr>
                <w:color w:val="auto"/>
                <w:szCs w:val="24"/>
              </w:rPr>
              <w:t>t/a、0.0</w:t>
            </w:r>
            <w:r>
              <w:rPr>
                <w:rFonts w:hint="eastAsia"/>
                <w:color w:val="auto"/>
                <w:szCs w:val="24"/>
              </w:rPr>
              <w:t>225</w:t>
            </w:r>
            <w:r>
              <w:rPr>
                <w:color w:val="auto"/>
                <w:szCs w:val="24"/>
              </w:rPr>
              <w:t>t/a、0.00</w:t>
            </w:r>
            <w:r>
              <w:rPr>
                <w:rFonts w:hint="eastAsia"/>
                <w:color w:val="auto"/>
                <w:szCs w:val="24"/>
              </w:rPr>
              <w:t>4</w:t>
            </w:r>
            <w:r>
              <w:rPr>
                <w:color w:val="auto"/>
                <w:szCs w:val="24"/>
              </w:rPr>
              <w:t>t/a、0.0</w:t>
            </w:r>
            <w:r>
              <w:rPr>
                <w:rFonts w:hint="eastAsia"/>
                <w:color w:val="auto"/>
                <w:szCs w:val="24"/>
              </w:rPr>
              <w:t>349</w:t>
            </w:r>
            <w:r>
              <w:rPr>
                <w:color w:val="auto"/>
                <w:szCs w:val="24"/>
              </w:rPr>
              <w:t>t/a。本项目废水污染物排放总量在青阳镇内平衡。固体废物排放量为零，符合总量控制要求。</w:t>
            </w:r>
          </w:p>
        </w:tc>
      </w:tr>
    </w:tbl>
    <w:p w14:paraId="1BA7C961">
      <w:pPr>
        <w:pStyle w:val="13"/>
        <w:ind w:left="0" w:leftChars="0" w:right="1680" w:firstLine="480"/>
        <w:rPr>
          <w:color w:val="auto"/>
        </w:rPr>
        <w:sectPr>
          <w:pgSz w:w="16838" w:h="11906" w:orient="landscape"/>
          <w:pgMar w:top="1800" w:right="1440" w:bottom="1800" w:left="1440" w:header="851" w:footer="992" w:gutter="0"/>
          <w:cols w:space="720" w:num="1"/>
          <w:docGrid w:type="lines" w:linePitch="312" w:charSpace="0"/>
        </w:sectPr>
      </w:pPr>
    </w:p>
    <w:p w14:paraId="0EE55785">
      <w:pPr>
        <w:pStyle w:val="21"/>
        <w:ind w:firstLine="600"/>
        <w:jc w:val="center"/>
        <w:outlineLvl w:val="0"/>
        <w:rPr>
          <w:rFonts w:ascii="Times New Roman" w:hAnsi="Times New Roman"/>
          <w:snapToGrid w:val="0"/>
          <w:color w:val="auto"/>
          <w:sz w:val="30"/>
          <w:szCs w:val="30"/>
        </w:rPr>
      </w:pPr>
      <w:r>
        <w:rPr>
          <w:rFonts w:ascii="Times New Roman" w:hAnsi="Times New Roman"/>
          <w:snapToGrid w:val="0"/>
          <w:color w:val="auto"/>
          <w:sz w:val="30"/>
          <w:szCs w:val="30"/>
        </w:rPr>
        <w:t>四、主要环境影响和保护措施</w:t>
      </w:r>
    </w:p>
    <w:tbl>
      <w:tblPr>
        <w:tblStyle w:val="28"/>
        <w:tblW w:w="50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42"/>
        <w:gridCol w:w="8178"/>
      </w:tblGrid>
      <w:tr w14:paraId="3992A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01" w:type="pct"/>
            <w:tcMar>
              <w:left w:w="28" w:type="dxa"/>
              <w:right w:w="28" w:type="dxa"/>
            </w:tcMar>
            <w:vAlign w:val="center"/>
          </w:tcPr>
          <w:p w14:paraId="0F5B5586">
            <w:pPr>
              <w:pStyle w:val="21"/>
              <w:adjustRightInd w:val="0"/>
              <w:snapToGrid w:val="0"/>
              <w:spacing w:before="0" w:beforeAutospacing="0" w:after="0" w:afterAutospacing="0"/>
              <w:ind w:firstLine="0" w:firstLineChars="0"/>
              <w:jc w:val="center"/>
              <w:rPr>
                <w:rFonts w:ascii="Times New Roman" w:hAnsi="Times New Roman"/>
                <w:bCs/>
                <w:color w:val="auto"/>
                <w:szCs w:val="24"/>
              </w:rPr>
            </w:pPr>
            <w:r>
              <w:rPr>
                <w:rFonts w:ascii="Times New Roman" w:hAnsi="Times New Roman"/>
                <w:color w:val="auto"/>
                <w:szCs w:val="24"/>
              </w:rPr>
              <w:t>施工期环境保护措施</w:t>
            </w:r>
          </w:p>
        </w:tc>
        <w:tc>
          <w:tcPr>
            <w:tcW w:w="4798" w:type="pct"/>
            <w:vAlign w:val="center"/>
          </w:tcPr>
          <w:p w14:paraId="3DEC9EBE">
            <w:pPr>
              <w:pStyle w:val="13"/>
              <w:adjustRightInd w:val="0"/>
              <w:snapToGrid w:val="0"/>
              <w:spacing w:after="0"/>
              <w:ind w:left="0" w:leftChars="0" w:right="0" w:rightChars="0" w:firstLine="480"/>
              <w:rPr>
                <w:color w:val="auto"/>
              </w:rPr>
            </w:pPr>
            <w:r>
              <w:rPr>
                <w:bCs/>
                <w:color w:val="auto"/>
                <w:szCs w:val="24"/>
              </w:rPr>
              <w:t>本项目租赁厂房进行建设，不新增建筑物，故施工期工程主要包括厂房内部布局调整、设备购置、安装和调试等环节，公用、辅助工程和环保工程配套设施完善等。施工期较短，因此施工期产生的粉尘、噪声和废污水较小，经采取合理的防范措施后，对周围环境影响不大。</w:t>
            </w:r>
          </w:p>
        </w:tc>
      </w:tr>
      <w:tr w14:paraId="1D6E7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9" w:hRule="atLeast"/>
          <w:jc w:val="center"/>
        </w:trPr>
        <w:tc>
          <w:tcPr>
            <w:tcW w:w="201" w:type="pct"/>
            <w:tcMar>
              <w:left w:w="28" w:type="dxa"/>
              <w:right w:w="28" w:type="dxa"/>
            </w:tcMar>
            <w:vAlign w:val="center"/>
          </w:tcPr>
          <w:p w14:paraId="4A24667A">
            <w:pPr>
              <w:pStyle w:val="42"/>
              <w:rPr>
                <w:bCs/>
                <w:color w:val="auto"/>
                <w:szCs w:val="24"/>
              </w:rPr>
            </w:pPr>
            <w:r>
              <w:rPr>
                <w:color w:val="auto"/>
                <w:sz w:val="24"/>
                <w:szCs w:val="24"/>
              </w:rPr>
              <w:t>运营期环境影响和保护措施</w:t>
            </w:r>
          </w:p>
        </w:tc>
        <w:tc>
          <w:tcPr>
            <w:tcW w:w="4798" w:type="pct"/>
          </w:tcPr>
          <w:p w14:paraId="717C3D32">
            <w:pPr>
              <w:pStyle w:val="4"/>
              <w:adjustRightInd w:val="0"/>
              <w:spacing w:before="0" w:after="0" w:line="360" w:lineRule="auto"/>
              <w:ind w:left="0" w:firstLine="482"/>
              <w:rPr>
                <w:rFonts w:eastAsia="宋体"/>
                <w:color w:val="auto"/>
                <w:sz w:val="24"/>
                <w:szCs w:val="24"/>
              </w:rPr>
            </w:pPr>
            <w:r>
              <w:rPr>
                <w:rFonts w:eastAsia="宋体"/>
                <w:color w:val="auto"/>
                <w:sz w:val="24"/>
                <w:szCs w:val="24"/>
              </w:rPr>
              <w:t>1、废气</w:t>
            </w:r>
          </w:p>
          <w:p w14:paraId="46449010">
            <w:pPr>
              <w:adjustRightInd w:val="0"/>
              <w:snapToGrid w:val="0"/>
              <w:ind w:firstLine="482"/>
              <w:rPr>
                <w:b/>
                <w:bCs/>
                <w:color w:val="auto"/>
                <w:szCs w:val="24"/>
              </w:rPr>
            </w:pPr>
            <w:r>
              <w:rPr>
                <w:b/>
                <w:bCs/>
                <w:color w:val="auto"/>
                <w:szCs w:val="24"/>
              </w:rPr>
              <w:t>1.1废气产排情况</w:t>
            </w:r>
          </w:p>
          <w:p w14:paraId="33A4DF55">
            <w:pPr>
              <w:adjustRightInd w:val="0"/>
              <w:snapToGrid w:val="0"/>
              <w:ind w:firstLine="482"/>
              <w:rPr>
                <w:color w:val="auto"/>
              </w:rPr>
            </w:pPr>
            <w:r>
              <w:rPr>
                <w:color w:val="auto"/>
              </w:rPr>
              <w:t>根据生产工艺分析，本项目废气主要为挤出成型工序产生的挤出成型废气（污染因子为非甲烷总烃、苯乙烯、酚类）；注塑成型工序产生的注塑成型废气（污染因子为非甲烷总烃</w:t>
            </w:r>
            <w:r>
              <w:rPr>
                <w:rFonts w:hint="eastAsia"/>
                <w:color w:val="auto"/>
              </w:rPr>
              <w:t>、苯乙烯、酚类</w:t>
            </w:r>
            <w:r>
              <w:rPr>
                <w:color w:val="auto"/>
              </w:rPr>
              <w:t>）；成型工序产生的成型废气（污染因子为</w:t>
            </w:r>
            <w:r>
              <w:rPr>
                <w:rFonts w:hint="eastAsia"/>
                <w:color w:val="auto"/>
              </w:rPr>
              <w:t>非甲烷总烃、苯乙烯、甲苯、乙苯、丙烯腈、酚类</w:t>
            </w:r>
            <w:r>
              <w:rPr>
                <w:color w:val="auto"/>
              </w:rPr>
              <w:t>）和破碎工序产生的破碎废气（污染因子为颗粒物）。</w:t>
            </w:r>
          </w:p>
          <w:p w14:paraId="400E7A16">
            <w:pPr>
              <w:adjustRightInd w:val="0"/>
              <w:snapToGrid w:val="0"/>
              <w:ind w:firstLine="482"/>
              <w:rPr>
                <w:rStyle w:val="35"/>
                <w:color w:val="auto"/>
                <w:kern w:val="0"/>
              </w:rPr>
            </w:pPr>
            <w:r>
              <w:rPr>
                <w:b/>
                <w:bCs/>
                <w:color w:val="auto"/>
                <w:szCs w:val="24"/>
              </w:rPr>
              <w:t>1.2废气处理装置经济及技术可行性分析</w:t>
            </w:r>
          </w:p>
          <w:p w14:paraId="00466F8B">
            <w:pPr>
              <w:ind w:firstLine="480"/>
              <w:rPr>
                <w:color w:val="auto"/>
              </w:rPr>
            </w:pPr>
            <w:r>
              <w:rPr>
                <w:rFonts w:hint="eastAsia"/>
                <w:color w:val="auto"/>
              </w:rPr>
              <w:t>对照</w:t>
            </w:r>
            <w:r>
              <w:rPr>
                <w:color w:val="auto"/>
              </w:rPr>
              <w:t xml:space="preserve">《排污许可证申请与核发技术规范 </w:t>
            </w:r>
            <w:r>
              <w:rPr>
                <w:rFonts w:hint="eastAsia"/>
                <w:color w:val="auto"/>
              </w:rPr>
              <w:t>橡胶与塑料制品工业</w:t>
            </w:r>
            <w:r>
              <w:rPr>
                <w:color w:val="auto"/>
              </w:rPr>
              <w:t>》（HJ1122-2020）表A.1</w:t>
            </w:r>
            <w:r>
              <w:rPr>
                <w:rFonts w:hint="eastAsia"/>
                <w:color w:val="auto"/>
              </w:rPr>
              <w:t>推荐的废气防治可行技术，本项目采用二级活性炭吸附装置处理非甲烷总烃是可行的。</w:t>
            </w:r>
          </w:p>
          <w:p w14:paraId="066E61A8">
            <w:pPr>
              <w:ind w:firstLine="480"/>
              <w:rPr>
                <w:color w:val="auto"/>
              </w:rPr>
            </w:pPr>
            <w:r>
              <w:rPr>
                <w:color w:val="auto"/>
              </w:rPr>
              <w:fldChar w:fldCharType="begin"/>
            </w:r>
            <w:r>
              <w:rPr>
                <w:color w:val="auto"/>
              </w:rPr>
              <w:instrText xml:space="preserve">= 1 \* GB3</w:instrText>
            </w:r>
            <w:r>
              <w:rPr>
                <w:color w:val="auto"/>
              </w:rPr>
              <w:fldChar w:fldCharType="separate"/>
            </w:r>
            <w:r>
              <w:rPr>
                <w:color w:val="auto"/>
              </w:rPr>
              <w:t>①</w:t>
            </w:r>
            <w:r>
              <w:rPr>
                <w:color w:val="auto"/>
              </w:rPr>
              <w:fldChar w:fldCharType="end"/>
            </w:r>
            <w:r>
              <w:rPr>
                <w:color w:val="auto"/>
              </w:rPr>
              <w:t xml:space="preserve">废气防治措施流程图 </w:t>
            </w:r>
          </w:p>
          <w:p w14:paraId="53A51E55">
            <w:pPr>
              <w:ind w:firstLine="480"/>
              <w:rPr>
                <w:color w:val="auto"/>
              </w:rPr>
            </w:pPr>
            <w:r>
              <w:rPr>
                <w:color w:val="auto"/>
              </w:rPr>
              <w:t>本项目挤出成型、注塑成型、成型工序产生的废气采用集气罩收集，接入一套“二级活性炭吸附装置”处理，尾气通过一根</w:t>
            </w:r>
            <w:r>
              <w:rPr>
                <w:rFonts w:hint="eastAsia"/>
                <w:color w:val="auto"/>
                <w:lang w:val="en-US" w:eastAsia="zh-CN"/>
              </w:rPr>
              <w:t>25</w:t>
            </w:r>
            <w:r>
              <w:rPr>
                <w:color w:val="auto"/>
              </w:rPr>
              <w:t>米高排气筒（FQ-1）排放。废气防治措施流程图如图4-1。</w:t>
            </w:r>
          </w:p>
          <w:p w14:paraId="2418AB3B">
            <w:pPr>
              <w:pStyle w:val="2"/>
              <w:rPr>
                <w:color w:val="auto"/>
              </w:rPr>
            </w:pPr>
          </w:p>
          <w:p w14:paraId="3499BE56">
            <w:pPr>
              <w:pStyle w:val="3"/>
              <w:widowControl w:val="0"/>
              <w:numPr>
                <w:ilvl w:val="0"/>
                <w:numId w:val="0"/>
              </w:numPr>
              <w:spacing w:line="360" w:lineRule="auto"/>
              <w:jc w:val="both"/>
              <w:rPr>
                <w:color w:val="auto"/>
              </w:rPr>
            </w:pPr>
          </w:p>
          <w:p w14:paraId="67D109F1">
            <w:pPr>
              <w:pStyle w:val="3"/>
              <w:widowControl w:val="0"/>
              <w:numPr>
                <w:ilvl w:val="0"/>
                <w:numId w:val="0"/>
              </w:numPr>
              <w:spacing w:line="360" w:lineRule="auto"/>
              <w:jc w:val="both"/>
              <w:rPr>
                <w:color w:val="auto"/>
              </w:rPr>
            </w:pPr>
          </w:p>
          <w:p w14:paraId="05E1D160">
            <w:pPr>
              <w:adjustRightInd w:val="0"/>
              <w:snapToGrid w:val="0"/>
              <w:ind w:firstLine="480"/>
              <w:rPr>
                <w:color w:val="auto"/>
                <w:szCs w:val="24"/>
              </w:rPr>
            </w:pPr>
            <w:r>
              <w:rPr>
                <w:color w:val="auto"/>
                <w:szCs w:val="24"/>
              </w:rPr>
              <w:fldChar w:fldCharType="begin"/>
            </w:r>
            <w:r>
              <w:rPr>
                <w:color w:val="auto"/>
                <w:szCs w:val="24"/>
              </w:rPr>
              <w:instrText xml:space="preserve">= 2 \* GB3</w:instrText>
            </w:r>
            <w:r>
              <w:rPr>
                <w:color w:val="auto"/>
                <w:szCs w:val="24"/>
              </w:rPr>
              <w:fldChar w:fldCharType="separate"/>
            </w:r>
            <w:r>
              <w:rPr>
                <w:color w:val="auto"/>
                <w:szCs w:val="24"/>
              </w:rPr>
              <w:t>②</w:t>
            </w:r>
            <w:r>
              <w:rPr>
                <w:color w:val="auto"/>
                <w:szCs w:val="24"/>
              </w:rPr>
              <w:fldChar w:fldCharType="end"/>
            </w:r>
            <w:r>
              <w:rPr>
                <w:color w:val="auto"/>
                <w:szCs w:val="24"/>
              </w:rPr>
              <w:t>工作原理</w:t>
            </w:r>
          </w:p>
          <w:p w14:paraId="432A0064">
            <w:pPr>
              <w:adjustRightInd w:val="0"/>
              <w:snapToGrid w:val="0"/>
              <w:ind w:firstLine="482"/>
              <w:rPr>
                <w:color w:val="auto"/>
                <w:szCs w:val="24"/>
              </w:rPr>
            </w:pPr>
            <w:r>
              <w:rPr>
                <w:b/>
                <w:bCs/>
                <w:color w:val="auto"/>
                <w:szCs w:val="24"/>
              </w:rPr>
              <w:t>二级活性炭吸附装置</w:t>
            </w:r>
            <w:r>
              <w:rPr>
                <w:color w:val="auto"/>
                <w:szCs w:val="24"/>
              </w:rPr>
              <w:t>：</w:t>
            </w:r>
          </w:p>
          <w:p w14:paraId="3D5DDA7A">
            <w:pPr>
              <w:adjustRightInd w:val="0"/>
              <w:snapToGrid w:val="0"/>
              <w:ind w:firstLine="480"/>
              <w:rPr>
                <w:color w:val="auto"/>
                <w:szCs w:val="24"/>
              </w:rPr>
            </w:pPr>
            <w:r>
              <w:rPr>
                <w:color w:val="auto"/>
                <w:szCs w:val="24"/>
              </w:rPr>
              <w:t>活性炭吸附是一种常用的吸附方法，吸附法主要利用高孔隙率、高比表面积的吸附剂，藉由物理性吸附（可逆反应）或化学性键结（不可逆反应）作用，将有机气体分子自废气中分离，以达成净化废气的目的。由于一般多采用物理性吸附，随操作时间之增加，吸附剂将逐渐趋于饱和现象，此时则须进行脱附再生或吸附剂更换工作。在有机废气处理过程中，活性炭常被用来吸附烷烃、烯烃、芳香烃、酮、醛、氯代烃、酯以及挥发性有机化合物（VOCs）。</w:t>
            </w:r>
          </w:p>
          <w:p w14:paraId="549349E5">
            <w:pPr>
              <w:adjustRightInd w:val="0"/>
              <w:snapToGrid w:val="0"/>
              <w:ind w:firstLine="480"/>
              <w:rPr>
                <w:color w:val="auto"/>
                <w:szCs w:val="24"/>
              </w:rPr>
            </w:pPr>
            <w:r>
              <w:rPr>
                <w:color w:val="auto"/>
                <w:szCs w:val="24"/>
              </w:rPr>
              <w:t>活性炭是由各种含碳物质（如木材、泥煤、果核、椰壳等原料）在高温下炭化后，再用水蒸气或化学药品（如氯化锌、氯化锰、氯化钙和磷酸等）进行活化处理，然后制成的孔隙十分丰富的吸附剂，比表面积一般在700～1500m</w:t>
            </w:r>
            <w:r>
              <w:rPr>
                <w:color w:val="auto"/>
                <w:szCs w:val="24"/>
                <w:vertAlign w:val="superscript"/>
              </w:rPr>
              <w:t>2</w:t>
            </w:r>
            <w:r>
              <w:rPr>
                <w:color w:val="auto"/>
                <w:szCs w:val="24"/>
              </w:rPr>
              <w:t>/g范围内，具有优良的吸附能力。其孔径分布一般为：活性炭5nm以下，活性焦炭2nm以下，炭分子筛1nm以下。炭分子筛式新近发展的一种孔径均一的分子筛型新品种，具有良好的选择吸附能力。活性炭是一种具有非极性表面、疏水性、亲有机物的吸附剂。所以活性炭常常被用来吸附回收空气中的有机溶剂和恶臭物质，它可以根据需要制成不同性状和粒度，如粉末活性炭、颗粒活性炭及柱状活性炭。本项目采用的废气处理装置方法成熟，国内外许多化工企业多应用该法，处理效果好，其优点是设备较简单、处理效率高、运行成本相对较低。</w:t>
            </w:r>
          </w:p>
          <w:p w14:paraId="190999E2">
            <w:pPr>
              <w:ind w:firstLine="480"/>
              <w:rPr>
                <w:color w:val="auto"/>
              </w:rPr>
            </w:pPr>
            <w:r>
              <w:rPr>
                <w:rFonts w:hint="eastAsia"/>
                <w:color w:val="auto"/>
              </w:rPr>
              <w:t>《省生态环境厅关于深入开展涉VOCs治理重点工作核查的通知》（苏环办[2022]218号）中对活性炭吸附装置作出了技术要求，本项目二级活性炭吸附装置与苏环办[2022]218号相符性分析见表</w:t>
            </w:r>
            <w:r>
              <w:rPr>
                <w:color w:val="auto"/>
              </w:rPr>
              <w:t>4-</w:t>
            </w:r>
            <w:r>
              <w:rPr>
                <w:rFonts w:hint="eastAsia"/>
                <w:color w:val="auto"/>
                <w:lang w:val="en-US" w:eastAsia="zh-CN"/>
              </w:rPr>
              <w:t>6</w:t>
            </w:r>
            <w:r>
              <w:rPr>
                <w:rFonts w:hint="eastAsia"/>
                <w:color w:val="auto"/>
              </w:rPr>
              <w:t>。</w:t>
            </w:r>
          </w:p>
          <w:p w14:paraId="61CB3682">
            <w:pPr>
              <w:ind w:firstLine="480"/>
              <w:rPr>
                <w:b/>
                <w:bCs/>
                <w:color w:val="auto"/>
                <w:szCs w:val="24"/>
              </w:rPr>
            </w:pPr>
            <w:r>
              <w:rPr>
                <w:rFonts w:hint="eastAsia"/>
                <w:color w:val="auto"/>
              </w:rPr>
              <w:t>综上，企业拟采取的污染治理设施可行。</w:t>
            </w:r>
          </w:p>
          <w:p w14:paraId="4BF71382">
            <w:pPr>
              <w:adjustRightInd w:val="0"/>
              <w:snapToGrid w:val="0"/>
              <w:ind w:firstLine="480"/>
              <w:rPr>
                <w:bCs/>
                <w:color w:val="auto"/>
              </w:rPr>
            </w:pPr>
            <w:r>
              <w:rPr>
                <w:bCs/>
                <w:color w:val="auto"/>
              </w:rPr>
              <w:fldChar w:fldCharType="begin"/>
            </w:r>
            <w:r>
              <w:rPr>
                <w:bCs/>
                <w:color w:val="auto"/>
              </w:rPr>
              <w:instrText xml:space="preserve">= 3 \* GB3</w:instrText>
            </w:r>
            <w:r>
              <w:rPr>
                <w:bCs/>
                <w:color w:val="auto"/>
              </w:rPr>
              <w:fldChar w:fldCharType="separate"/>
            </w:r>
            <w:r>
              <w:rPr>
                <w:bCs/>
                <w:color w:val="auto"/>
              </w:rPr>
              <w:t>③</w:t>
            </w:r>
            <w:r>
              <w:rPr>
                <w:bCs/>
                <w:color w:val="auto"/>
              </w:rPr>
              <w:fldChar w:fldCharType="end"/>
            </w:r>
            <w:r>
              <w:rPr>
                <w:bCs/>
                <w:color w:val="auto"/>
              </w:rPr>
              <w:t>废气捕集率论证</w:t>
            </w:r>
          </w:p>
          <w:p w14:paraId="60B44CD9">
            <w:pPr>
              <w:adjustRightInd w:val="0"/>
              <w:snapToGrid w:val="0"/>
              <w:ind w:firstLine="480"/>
              <w:rPr>
                <w:color w:val="auto"/>
              </w:rPr>
            </w:pPr>
            <w:r>
              <w:rPr>
                <w:color w:val="auto"/>
              </w:rPr>
              <w:t>建设单位对本项目挤出成型、注塑成型、成型环节产生的废气进行处理，通过上部集气罩对废气进行收集，集气罩集气效率的高低取决于吸风罩口敞开面周长及吸风罩吸风在污染物发生点产生的控制风速。参考《废气处理工程技术手册》（王纯、张殿印主编，化学工业出版社，2013版），集气罩排风量计算公式：</w:t>
            </w:r>
          </w:p>
          <w:p w14:paraId="7FF50CE0">
            <w:pPr>
              <w:adjustRightInd w:val="0"/>
              <w:snapToGrid w:val="0"/>
              <w:ind w:firstLine="480"/>
              <w:rPr>
                <w:color w:val="auto"/>
              </w:rPr>
            </w:pPr>
            <w:r>
              <w:rPr>
                <w:color w:val="auto"/>
              </w:rPr>
              <w:t>集气罩排风量计算公式：</w:t>
            </w:r>
          </w:p>
          <w:p w14:paraId="76FBEABA">
            <w:pPr>
              <w:adjustRightInd w:val="0"/>
              <w:snapToGrid w:val="0"/>
              <w:ind w:firstLine="0" w:firstLineChars="0"/>
              <w:jc w:val="center"/>
              <w:rPr>
                <w:color w:val="auto"/>
              </w:rPr>
            </w:pPr>
            <w:r>
              <w:rPr>
                <w:color w:val="auto"/>
              </w:rPr>
              <w:t>Q=1.4×K×H×vx</w:t>
            </w:r>
          </w:p>
          <w:p w14:paraId="3968DD6D">
            <w:pPr>
              <w:adjustRightInd w:val="0"/>
              <w:snapToGrid w:val="0"/>
              <w:ind w:firstLine="480"/>
              <w:rPr>
                <w:color w:val="auto"/>
              </w:rPr>
            </w:pPr>
            <w:r>
              <w:rPr>
                <w:color w:val="auto"/>
              </w:rPr>
              <w:t>其中：K——罩口敞开面周长；</w:t>
            </w:r>
          </w:p>
          <w:p w14:paraId="0703822E">
            <w:pPr>
              <w:adjustRightInd w:val="0"/>
              <w:snapToGrid w:val="0"/>
              <w:ind w:firstLine="480"/>
              <w:rPr>
                <w:color w:val="auto"/>
              </w:rPr>
            </w:pPr>
            <w:r>
              <w:rPr>
                <w:color w:val="auto"/>
              </w:rPr>
              <w:t>H——罩口距污染源的距离；</w:t>
            </w:r>
          </w:p>
          <w:p w14:paraId="2CA5E18C">
            <w:pPr>
              <w:adjustRightInd w:val="0"/>
              <w:snapToGrid w:val="0"/>
              <w:ind w:firstLine="480"/>
              <w:rPr>
                <w:color w:val="auto"/>
              </w:rPr>
            </w:pPr>
            <w:r>
              <w:rPr>
                <w:color w:val="auto"/>
              </w:rPr>
              <w:t>vx——控制风速，是保证污染物能被全部吸入罩内时控制点上必须具有的吸入速度。</w:t>
            </w:r>
          </w:p>
          <w:p w14:paraId="72CA9298">
            <w:pPr>
              <w:adjustRightInd w:val="0"/>
              <w:snapToGrid w:val="0"/>
              <w:ind w:firstLine="480"/>
              <w:rPr>
                <w:color w:val="auto"/>
              </w:rPr>
            </w:pPr>
            <w:r>
              <w:rPr>
                <w:color w:val="auto"/>
              </w:rPr>
              <w:t>本项目加热挤出通过采用上部吸风罩可以有效对废气进行收集，上部吸风罩集气效率的高低取决于吸风罩口敞开面积、罩口距污染源的距离及吸风罩吸风在污染物发生点产生的控制风速。</w:t>
            </w:r>
          </w:p>
          <w:p w14:paraId="17433DB9">
            <w:pPr>
              <w:ind w:firstLine="480"/>
              <w:rPr>
                <w:color w:val="auto"/>
              </w:rPr>
            </w:pPr>
            <w:r>
              <w:rPr>
                <w:color w:val="auto"/>
              </w:rPr>
              <w:t>本项目新增注塑机6台、滚轮机20台、高速粒子机4台、平板机12台、高速滚轮机5台，即需要47个集气罩，则共需要风量</w:t>
            </w:r>
            <w:r>
              <w:rPr>
                <w:rFonts w:hint="eastAsia"/>
                <w:color w:val="auto"/>
                <w:lang w:eastAsia="zh-CN"/>
              </w:rPr>
              <w:t>7711.2</w:t>
            </w:r>
            <w:r>
              <w:rPr>
                <w:color w:val="auto"/>
              </w:rPr>
              <w:t>m</w:t>
            </w:r>
            <w:r>
              <w:rPr>
                <w:color w:val="auto"/>
                <w:vertAlign w:val="superscript"/>
              </w:rPr>
              <w:t>3</w:t>
            </w:r>
            <w:r>
              <w:rPr>
                <w:color w:val="auto"/>
              </w:rPr>
              <w:t>/h。考虑到风损等因素，扩建后企业新增风机风量为</w:t>
            </w:r>
            <w:r>
              <w:rPr>
                <w:rFonts w:hint="eastAsia"/>
                <w:color w:val="auto"/>
                <w:lang w:eastAsia="zh-CN"/>
              </w:rPr>
              <w:t>8000</w:t>
            </w:r>
            <w:r>
              <w:rPr>
                <w:color w:val="auto"/>
              </w:rPr>
              <w:t>m</w:t>
            </w:r>
            <w:r>
              <w:rPr>
                <w:color w:val="auto"/>
                <w:vertAlign w:val="superscript"/>
              </w:rPr>
              <w:t>3</w:t>
            </w:r>
            <w:r>
              <w:rPr>
                <w:color w:val="auto"/>
              </w:rPr>
              <w:t>/h，可满足风量需求。</w:t>
            </w:r>
          </w:p>
          <w:p w14:paraId="12310042">
            <w:pPr>
              <w:pStyle w:val="6"/>
              <w:ind w:firstLine="480"/>
              <w:rPr>
                <w:b w:val="0"/>
                <w:bCs/>
                <w:color w:val="auto"/>
              </w:rPr>
            </w:pPr>
            <w:r>
              <w:rPr>
                <w:rFonts w:hint="eastAsia"/>
                <w:b w:val="0"/>
                <w:bCs/>
                <w:color w:val="auto"/>
              </w:rPr>
              <w:t>④排气筒设置合理性分析</w:t>
            </w:r>
          </w:p>
          <w:p w14:paraId="7CE3A370">
            <w:pPr>
              <w:pStyle w:val="6"/>
              <w:ind w:firstLine="480"/>
              <w:jc w:val="both"/>
              <w:rPr>
                <w:b w:val="0"/>
                <w:bCs/>
                <w:color w:val="auto"/>
              </w:rPr>
            </w:pPr>
            <w:r>
              <w:rPr>
                <w:rFonts w:hint="eastAsia"/>
                <w:b w:val="0"/>
                <w:bCs/>
                <w:color w:val="auto"/>
              </w:rPr>
              <w:t>根据《大气污染物综合排放标准》（DB32/4041-2021）：“</w:t>
            </w:r>
            <w:r>
              <w:rPr>
                <w:b w:val="0"/>
                <w:bCs/>
                <w:color w:val="auto"/>
              </w:rPr>
              <w:t>4</w:t>
            </w:r>
            <w:r>
              <w:rPr>
                <w:rFonts w:hint="eastAsia"/>
                <w:b w:val="0"/>
                <w:bCs/>
                <w:color w:val="auto"/>
              </w:rPr>
              <w:t>.1.4排放光气、氰化氢和氯气的排气筒高度不低于25m，其他排气筒高度不低于15m（因安全考虑或有特殊工艺要求的除外），具体高度以及与周围建筑物的相对高度关系应根据环境影响评价文件确定。新建污染源的排气筒必须低于15m时，其最高允许排放速率按表1所列排放速率限值的50%执行”，本项目厂房</w:t>
            </w:r>
            <w:r>
              <w:rPr>
                <w:rFonts w:hint="eastAsia"/>
                <w:b w:val="0"/>
                <w:bCs/>
                <w:color w:val="auto"/>
                <w:lang w:val="en-US" w:eastAsia="zh-CN"/>
              </w:rPr>
              <w:t>总</w:t>
            </w:r>
            <w:r>
              <w:rPr>
                <w:rFonts w:hint="eastAsia"/>
                <w:b w:val="0"/>
                <w:bCs/>
                <w:color w:val="auto"/>
              </w:rPr>
              <w:t>高度为26m，F</w:t>
            </w:r>
            <w:r>
              <w:rPr>
                <w:b w:val="0"/>
                <w:bCs/>
                <w:color w:val="auto"/>
              </w:rPr>
              <w:t>Q-1</w:t>
            </w:r>
            <w:r>
              <w:rPr>
                <w:rFonts w:hint="eastAsia"/>
                <w:b w:val="0"/>
                <w:bCs/>
                <w:color w:val="auto"/>
              </w:rPr>
              <w:t>设置高度为30m，满足标准要求。</w:t>
            </w:r>
          </w:p>
          <w:p w14:paraId="4401FA1F">
            <w:pPr>
              <w:pStyle w:val="6"/>
              <w:ind w:firstLine="480"/>
              <w:jc w:val="both"/>
              <w:rPr>
                <w:b w:val="0"/>
                <w:bCs/>
                <w:color w:val="auto"/>
              </w:rPr>
            </w:pPr>
            <w:r>
              <w:rPr>
                <w:rFonts w:hint="eastAsia"/>
                <w:b w:val="0"/>
                <w:bCs/>
                <w:color w:val="auto"/>
              </w:rPr>
              <w:t>根据《大气污染治理工程技术导则》（HJ2000-2010）“5.3.5排气筒的出口直径应根据出口流速确定，流速宜取15m/s左右。当采用钢管烟囱且高度较高时或烟气量较大时，可适当提高出口流速至20～25m/s”，排气筒烟气流速越大，扩散稀释的效果越好，但速度超过30m/s时会发生笛音现象，同时排气筒振动明显，因此需控制排气筒烟气流速，本项目F</w:t>
            </w:r>
            <w:r>
              <w:rPr>
                <w:b w:val="0"/>
                <w:bCs/>
                <w:color w:val="auto"/>
              </w:rPr>
              <w:t>Q</w:t>
            </w:r>
            <w:r>
              <w:rPr>
                <w:rFonts w:hint="eastAsia"/>
                <w:b w:val="0"/>
                <w:bCs/>
                <w:color w:val="auto"/>
              </w:rPr>
              <w:t>-</w:t>
            </w:r>
            <w:r>
              <w:rPr>
                <w:b w:val="0"/>
                <w:bCs/>
                <w:color w:val="auto"/>
              </w:rPr>
              <w:t>1</w:t>
            </w:r>
            <w:r>
              <w:rPr>
                <w:rFonts w:hint="eastAsia"/>
                <w:b w:val="0"/>
                <w:bCs/>
                <w:color w:val="auto"/>
              </w:rPr>
              <w:t>烟气流速为</w:t>
            </w:r>
            <w:r>
              <w:rPr>
                <w:rFonts w:hint="eastAsia"/>
                <w:b w:val="0"/>
                <w:bCs/>
                <w:color w:val="auto"/>
                <w:lang w:val="en-US" w:eastAsia="zh-CN"/>
              </w:rPr>
              <w:t>14</w:t>
            </w:r>
            <w:r>
              <w:rPr>
                <w:rFonts w:hint="eastAsia"/>
                <w:b w:val="0"/>
                <w:bCs/>
                <w:color w:val="auto"/>
              </w:rPr>
              <w:t>m/s，烟气流速设计较为合理。</w:t>
            </w:r>
          </w:p>
          <w:p w14:paraId="1AE5499C">
            <w:pPr>
              <w:pStyle w:val="6"/>
              <w:ind w:firstLine="480"/>
              <w:rPr>
                <w:b w:val="0"/>
                <w:bCs/>
                <w:color w:val="auto"/>
              </w:rPr>
            </w:pPr>
            <w:r>
              <w:rPr>
                <w:rFonts w:hint="eastAsia"/>
                <w:b w:val="0"/>
                <w:bCs/>
                <w:color w:val="auto"/>
              </w:rPr>
              <w:t>综上所述，本项目排气筒设置情况是合理的。</w:t>
            </w:r>
          </w:p>
          <w:p w14:paraId="796017FF">
            <w:pPr>
              <w:ind w:firstLine="482"/>
              <w:rPr>
                <w:b/>
                <w:bCs/>
                <w:color w:val="auto"/>
              </w:rPr>
            </w:pPr>
            <w:r>
              <w:rPr>
                <w:b/>
                <w:bCs/>
                <w:color w:val="auto"/>
              </w:rPr>
              <w:t>1.3恶臭影响分析</w:t>
            </w:r>
          </w:p>
          <w:p w14:paraId="7685938F">
            <w:pPr>
              <w:ind w:firstLine="480"/>
              <w:rPr>
                <w:color w:val="auto"/>
              </w:rPr>
            </w:pPr>
            <w:r>
              <w:rPr>
                <w:color w:val="auto"/>
              </w:rPr>
              <w:t>（1）异味的危害</w:t>
            </w:r>
          </w:p>
          <w:p w14:paraId="7D7AD3F3">
            <w:pPr>
              <w:ind w:firstLine="480"/>
              <w:rPr>
                <w:color w:val="auto"/>
              </w:rPr>
            </w:pPr>
            <w:r>
              <w:rPr>
                <w:color w:val="auto"/>
              </w:rPr>
              <w:t>本项目异味气体主要为</w:t>
            </w:r>
            <w:r>
              <w:rPr>
                <w:rFonts w:hint="eastAsia"/>
                <w:color w:val="auto"/>
              </w:rPr>
              <w:t>定型</w:t>
            </w:r>
            <w:r>
              <w:rPr>
                <w:color w:val="auto"/>
              </w:rPr>
              <w:t>过程中产生的苯乙烯、丙烯腈各类异味，异味气体主要危害为：</w:t>
            </w:r>
          </w:p>
          <w:p w14:paraId="6C220CFB">
            <w:pPr>
              <w:ind w:firstLine="480"/>
              <w:rPr>
                <w:color w:val="auto"/>
              </w:rPr>
            </w:pPr>
            <w:r>
              <w:rPr>
                <w:color w:val="auto"/>
              </w:rPr>
              <w:t>①危害呼吸系统。人们突然闻到异味，就会产生反射性的抑制吸气，使呼吸次数减少，深度变浅，甚至会暂时停止吸气，妨碍正常呼吸功能。</w:t>
            </w:r>
          </w:p>
          <w:p w14:paraId="7158F530">
            <w:pPr>
              <w:ind w:firstLine="480"/>
              <w:rPr>
                <w:color w:val="auto"/>
              </w:rPr>
            </w:pPr>
            <w:r>
              <w:rPr>
                <w:color w:val="auto"/>
              </w:rPr>
              <w:t>②危害循环系统。随着呼吸的变化，会出现脉搏和血压的变化。</w:t>
            </w:r>
          </w:p>
          <w:p w14:paraId="7CC323F3">
            <w:pPr>
              <w:ind w:firstLine="480"/>
              <w:rPr>
                <w:color w:val="auto"/>
              </w:rPr>
            </w:pPr>
            <w:r>
              <w:rPr>
                <w:color w:val="auto"/>
              </w:rPr>
              <w:t>③危害消化系统。经常接触异味，会使人厌食、恶心，甚至呕吐，进而发展为消化功能减退。</w:t>
            </w:r>
          </w:p>
          <w:p w14:paraId="654728AC">
            <w:pPr>
              <w:ind w:firstLine="480"/>
              <w:rPr>
                <w:color w:val="auto"/>
              </w:rPr>
            </w:pPr>
            <w:r>
              <w:rPr>
                <w:color w:val="auto"/>
              </w:rPr>
              <w:t>④危害内分泌系统。经常受异味刺激，会使内分泌系统的分泌功能紊乱，影响机体的代谢活动。</w:t>
            </w:r>
          </w:p>
          <w:p w14:paraId="75F03103">
            <w:pPr>
              <w:ind w:firstLine="480"/>
              <w:rPr>
                <w:color w:val="auto"/>
              </w:rPr>
            </w:pPr>
            <w:r>
              <w:rPr>
                <w:color w:val="auto"/>
              </w:rPr>
              <w:t>⑤危害神经系统。长期受到一种或几种低浓度异味物质的刺激，会引起嗅觉脱失、嗅觉疲劳等障碍。“久闻而不知其臭”，使嗅觉丧失了第一道防御功能，但脑神经仍不断受到刺激和损伤，最后导致大脑皮层兴奋和抑制的调节功能失调。</w:t>
            </w:r>
          </w:p>
          <w:p w14:paraId="1A953AD3">
            <w:pPr>
              <w:ind w:firstLine="480"/>
              <w:rPr>
                <w:color w:val="auto"/>
              </w:rPr>
            </w:pPr>
            <w:r>
              <w:rPr>
                <w:color w:val="auto"/>
              </w:rPr>
              <w:t>⑥对精神的影响。异味使人精神烦躁不安，思想不集中，工作效率减低，判断力和记忆力下降，影响大脑的思考活动。</w:t>
            </w:r>
          </w:p>
          <w:p w14:paraId="69FE7882">
            <w:pPr>
              <w:ind w:firstLine="480"/>
              <w:rPr>
                <w:color w:val="auto"/>
              </w:rPr>
            </w:pPr>
            <w:r>
              <w:rPr>
                <w:color w:val="auto"/>
              </w:rPr>
              <w:t>（2）恶臭影响分析</w:t>
            </w:r>
          </w:p>
          <w:p w14:paraId="6261F47B">
            <w:pPr>
              <w:ind w:firstLine="480"/>
              <w:rPr>
                <w:color w:val="auto"/>
              </w:rPr>
            </w:pPr>
            <w:r>
              <w:rPr>
                <w:color w:val="auto"/>
              </w:rPr>
              <w:t>恶臭物质在空气中浓度小于嗅觉阈值时，感觉不到臭味；空气中浓度等于嗅觉阈值时，勉强可感到臭味。根据《工业化学物嗅阈值用作警示指标的探讨》（工业卫生与职业病 2002年第28卷第3期刚葆琪，甘卉芳），本项目恶臭污染物质的主要为苯乙烯、丙烯腈，各恶臭物质的嗅阈值见表4-</w:t>
            </w:r>
            <w:r>
              <w:rPr>
                <w:rFonts w:hint="eastAsia"/>
                <w:color w:val="auto"/>
                <w:lang w:val="en-US" w:eastAsia="zh-CN"/>
              </w:rPr>
              <w:t>9</w:t>
            </w:r>
            <w:r>
              <w:rPr>
                <w:color w:val="auto"/>
              </w:rPr>
              <w:t>。</w:t>
            </w:r>
          </w:p>
          <w:p w14:paraId="07A5AE20">
            <w:pPr>
              <w:ind w:firstLine="480"/>
              <w:rPr>
                <w:color w:val="auto"/>
              </w:rPr>
            </w:pPr>
            <w:r>
              <w:rPr>
                <w:color w:val="auto"/>
              </w:rPr>
              <w:t>由于各种恶臭物质之间的相互作用（相加、协同、抵消及掩饰作用等），加之人类的嗅觉功能和恶臭物质取样分析等因素，迄今还难以对大多数恶臭物质作出浓度标准。目前，国外对恶臭强度的分级和测定多以人的嗅觉感官作为基础得到，如德国的臭气强度5级分级（1958年）；日本的臭气强度6级分级（1972年）等。这种测定方法以经过训练合格的5-8名臭气监测员以自身的恶臭感知能力对恶臭进行强度监测。北京环境监测中心在吸取国外经验的基础上提出了恶臭6级分级法（见下表所示），该分级法以嗅觉的感觉和人的主观感觉特征两个方面来描述各级特征，既明确了各级的差别，也提高了分级的准确程度。</w:t>
            </w:r>
          </w:p>
          <w:p w14:paraId="325A3D14">
            <w:pPr>
              <w:ind w:firstLine="480"/>
              <w:rPr>
                <w:color w:val="auto"/>
              </w:rPr>
            </w:pPr>
            <w:r>
              <w:rPr>
                <w:color w:val="auto"/>
              </w:rPr>
              <w:t>类比同类型企业，</w:t>
            </w:r>
            <w:r>
              <w:rPr>
                <w:rFonts w:hint="eastAsia"/>
                <w:color w:val="auto"/>
              </w:rPr>
              <w:t>塑料</w:t>
            </w:r>
            <w:r>
              <w:rPr>
                <w:color w:val="auto"/>
              </w:rPr>
              <w:t>加工车间内恶臭等级在2~3级；厂界恶臭等级在0~1级。恶臭随距离的增加影响减小，到达厂界时对环境的影响可基本消除。为使恶臭对周围环境影响减至最低，建议企业在厂界设置绿化隔离。</w:t>
            </w:r>
          </w:p>
          <w:p w14:paraId="4AE5FBCF">
            <w:pPr>
              <w:ind w:firstLine="480"/>
              <w:rPr>
                <w:color w:val="auto"/>
              </w:rPr>
            </w:pPr>
            <w:r>
              <w:rPr>
                <w:color w:val="auto"/>
              </w:rPr>
              <w:t>项目运营过程产生的异味物质正常排放情况下对周围环境影响无明显影响，大气环境影响程度较小，但仍应加强污染控制管理，减少不正常排放情况的发生，异味污染是可以得到控制的。为了控制项目异味污染，本项目采取有效措施具体如下：</w:t>
            </w:r>
          </w:p>
          <w:p w14:paraId="73FA2257">
            <w:pPr>
              <w:ind w:firstLine="480"/>
              <w:rPr>
                <w:color w:val="auto"/>
              </w:rPr>
            </w:pPr>
            <w:r>
              <w:rPr>
                <w:color w:val="auto"/>
              </w:rPr>
              <w:t>①采用高效废气收集措施，增加设备、设施密封性，管道密闭负压收集，提高废气收集效率，减少异味气体在车间内的扩散；</w:t>
            </w:r>
          </w:p>
          <w:p w14:paraId="5E046441">
            <w:pPr>
              <w:ind w:firstLine="480"/>
              <w:rPr>
                <w:color w:val="auto"/>
              </w:rPr>
            </w:pPr>
            <w:r>
              <w:rPr>
                <w:color w:val="auto"/>
              </w:rPr>
              <w:t>②保证风机正常工作，非必要情况下保证全程密闭，加强设备维护，减少装置的跑、冒、滴、漏，定期检查密闭性；</w:t>
            </w:r>
          </w:p>
          <w:p w14:paraId="7D11189D">
            <w:pPr>
              <w:ind w:firstLine="420"/>
              <w:rPr>
                <w:color w:val="auto"/>
              </w:rPr>
            </w:pPr>
            <w:r>
              <w:rPr>
                <w:rFonts w:hint="eastAsia"/>
                <w:color w:val="auto"/>
              </w:rPr>
              <w:t>③</w:t>
            </w:r>
            <w:r>
              <w:rPr>
                <w:color w:val="auto"/>
              </w:rPr>
              <w:t>建立专门的环境管理机构，健全完善环境管理制度并纳入正常管理，记录环保设施的运行数据并建立环保档案。</w:t>
            </w:r>
          </w:p>
          <w:p w14:paraId="13EA31C1">
            <w:pPr>
              <w:ind w:firstLine="480"/>
              <w:rPr>
                <w:color w:val="auto"/>
              </w:rPr>
            </w:pPr>
            <w:r>
              <w:rPr>
                <w:color w:val="auto"/>
              </w:rPr>
              <w:t>在采取以上控制措施后，项目厂区内的异味气体可得到较好的控制，对周围环境的影响相对较小。</w:t>
            </w:r>
          </w:p>
          <w:p w14:paraId="1A837030">
            <w:pPr>
              <w:snapToGrid w:val="0"/>
              <w:ind w:firstLine="482"/>
              <w:rPr>
                <w:b/>
                <w:color w:val="auto"/>
                <w:szCs w:val="24"/>
              </w:rPr>
            </w:pPr>
            <w:r>
              <w:rPr>
                <w:b/>
                <w:color w:val="auto"/>
                <w:szCs w:val="24"/>
              </w:rPr>
              <w:t>1.4环境防护距离计算</w:t>
            </w:r>
          </w:p>
          <w:p w14:paraId="6AD918AF">
            <w:pPr>
              <w:adjustRightInd w:val="0"/>
              <w:snapToGrid w:val="0"/>
              <w:ind w:firstLine="420"/>
              <w:rPr>
                <w:color w:val="auto"/>
                <w:szCs w:val="24"/>
              </w:rPr>
            </w:pPr>
            <w:r>
              <w:rPr>
                <w:color w:val="auto"/>
                <w:szCs w:val="24"/>
              </w:rPr>
              <w:t>根据《大气有害物质无组织排放卫生防护距离推导技术导则》（GB/T 39499-2020）规范要求，为了防控通过无组织排放的大气污染物的健康危害，产生大气有害物质的生产单元（生产车间或作业场所）的边界至敏感区边界的最小距离。计算公式如下：</w:t>
            </w:r>
          </w:p>
          <w:p w14:paraId="2594EC4F">
            <w:pPr>
              <w:adjustRightInd w:val="0"/>
              <w:snapToGrid w:val="0"/>
              <w:ind w:firstLine="480"/>
              <w:jc w:val="center"/>
              <w:rPr>
                <w:color w:val="auto"/>
                <w:szCs w:val="24"/>
              </w:rPr>
            </w:pPr>
            <w:r>
              <w:rPr>
                <w:color w:val="auto"/>
                <w:position w:val="-30"/>
                <w:szCs w:val="24"/>
              </w:rPr>
              <w:object>
                <v:shape id="_x0000_i1025" o:spt="75" type="#_x0000_t75" style="height:30pt;width:156pt;" o:ole="t" filled="f" coordsize="21600,21600">
                  <v:path/>
                  <v:fill on="f" focussize="0,0"/>
                  <v:stroke/>
                  <v:imagedata r:id="rId17" o:title=""/>
                  <o:lock v:ext="edit" aspectratio="t"/>
                  <w10:wrap type="none"/>
                  <w10:anchorlock/>
                </v:shape>
                <o:OLEObject Type="Embed" ProgID="Equation.3" ShapeID="_x0000_i1025" DrawAspect="Content" ObjectID="_1468075725" r:id="rId16">
                  <o:LockedField>false</o:LockedField>
                </o:OLEObject>
              </w:object>
            </w:r>
          </w:p>
          <w:p w14:paraId="5D3A5A8E">
            <w:pPr>
              <w:adjustRightInd w:val="0"/>
              <w:snapToGrid w:val="0"/>
              <w:ind w:firstLine="480"/>
              <w:rPr>
                <w:color w:val="auto"/>
                <w:szCs w:val="24"/>
              </w:rPr>
            </w:pPr>
            <w:r>
              <w:rPr>
                <w:color w:val="auto"/>
                <w:szCs w:val="24"/>
              </w:rPr>
              <w:t>式中：</w:t>
            </w:r>
            <w:r>
              <w:rPr>
                <w:color w:val="auto"/>
                <w:position w:val="-12"/>
                <w:sz w:val="21"/>
              </w:rPr>
              <w:object>
                <v:shape id="_x0000_i1026" o:spt="75" type="#_x0000_t75" style="height:16.5pt;width:16.5pt;" o:ole="t" filled="f" coordsize="21600,21600">
                  <v:path/>
                  <v:fill on="f" focussize="0,0"/>
                  <v:stroke/>
                  <v:imagedata r:id="rId19" o:title=""/>
                  <o:lock v:ext="edit" aspectratio="t"/>
                  <w10:wrap type="none"/>
                  <w10:anchorlock/>
                </v:shape>
                <o:OLEObject Type="Embed" ProgID="Equation.3" ShapeID="_x0000_i1026" DrawAspect="Content" ObjectID="_1468075726" r:id="rId18">
                  <o:LockedField>false</o:LockedField>
                </o:OLEObject>
              </w:object>
            </w:r>
            <w:r>
              <w:rPr>
                <w:color w:val="auto"/>
                <w:szCs w:val="24"/>
              </w:rPr>
              <w:t>------大气有害物质的无组织排放量，单位为千克每小时（kg/h）；</w:t>
            </w:r>
          </w:p>
          <w:p w14:paraId="22B0DAD8">
            <w:pPr>
              <w:adjustRightInd w:val="0"/>
              <w:snapToGrid w:val="0"/>
              <w:ind w:firstLine="1245" w:firstLineChars="593"/>
              <w:rPr>
                <w:color w:val="auto"/>
                <w:szCs w:val="24"/>
              </w:rPr>
            </w:pPr>
            <w:r>
              <w:rPr>
                <w:color w:val="auto"/>
                <w:position w:val="-12"/>
                <w:sz w:val="21"/>
              </w:rPr>
              <w:object>
                <v:shape id="_x0000_i1027" o:spt="75" type="#_x0000_t75" style="height:16.5pt;width:16.5pt;" o:ole="t" filled="f" coordsize="21600,21600">
                  <v:path/>
                  <v:fill on="f" focussize="0,0"/>
                  <v:stroke/>
                  <v:imagedata r:id="rId21" o:title=""/>
                  <o:lock v:ext="edit" aspectratio="t"/>
                  <w10:wrap type="none"/>
                  <w10:anchorlock/>
                </v:shape>
                <o:OLEObject Type="Embed" ProgID="Equation.3" ShapeID="_x0000_i1027" DrawAspect="Content" ObjectID="_1468075727" r:id="rId20">
                  <o:LockedField>false</o:LockedField>
                </o:OLEObject>
              </w:object>
            </w:r>
            <w:r>
              <w:rPr>
                <w:color w:val="auto"/>
                <w:szCs w:val="24"/>
              </w:rPr>
              <w:t>-------大气有害物质环境空气质量的标准限值，单位为毫克每立方（mg/m</w:t>
            </w:r>
            <w:r>
              <w:rPr>
                <w:color w:val="auto"/>
                <w:szCs w:val="24"/>
                <w:vertAlign w:val="superscript"/>
              </w:rPr>
              <w:t>3</w:t>
            </w:r>
            <w:r>
              <w:rPr>
                <w:color w:val="auto"/>
                <w:szCs w:val="24"/>
              </w:rPr>
              <w:t>）；</w:t>
            </w:r>
          </w:p>
          <w:p w14:paraId="75C86177">
            <w:pPr>
              <w:adjustRightInd w:val="0"/>
              <w:snapToGrid w:val="0"/>
              <w:ind w:firstLine="1245" w:firstLineChars="519"/>
              <w:rPr>
                <w:color w:val="auto"/>
                <w:szCs w:val="24"/>
              </w:rPr>
            </w:pPr>
            <w:r>
              <w:rPr>
                <w:color w:val="auto"/>
                <w:szCs w:val="24"/>
              </w:rPr>
              <w:t>L-------大气有害物质卫生防护距离初值，单位为米（m）；</w:t>
            </w:r>
          </w:p>
          <w:p w14:paraId="234FF9A2">
            <w:pPr>
              <w:adjustRightInd w:val="0"/>
              <w:snapToGrid w:val="0"/>
              <w:ind w:firstLine="1245" w:firstLineChars="519"/>
              <w:rPr>
                <w:color w:val="auto"/>
                <w:szCs w:val="24"/>
              </w:rPr>
            </w:pPr>
            <w:r>
              <w:rPr>
                <w:color w:val="auto"/>
                <w:szCs w:val="24"/>
              </w:rPr>
              <w:t>r-------大气有害物质无组织排放源所在生产单元等效半径，单位为米（m）；</w:t>
            </w:r>
          </w:p>
          <w:p w14:paraId="4E2888CD">
            <w:pPr>
              <w:adjustRightInd w:val="0"/>
              <w:snapToGrid w:val="0"/>
              <w:ind w:firstLine="1245" w:firstLineChars="519"/>
              <w:rPr>
                <w:color w:val="auto"/>
                <w:szCs w:val="32"/>
              </w:rPr>
            </w:pPr>
            <w:r>
              <w:rPr>
                <w:color w:val="auto"/>
                <w:szCs w:val="24"/>
              </w:rPr>
              <w:t>A、B、C、D------卫生防护距离初值计算系数，无因次，根据工业企业所在地区近5年平均风速及大气污染源构成类别从表1查取。计算结果见表4-</w:t>
            </w:r>
            <w:r>
              <w:rPr>
                <w:rFonts w:hint="eastAsia"/>
                <w:color w:val="auto"/>
                <w:szCs w:val="24"/>
              </w:rPr>
              <w:t>1</w:t>
            </w:r>
            <w:r>
              <w:rPr>
                <w:rFonts w:hint="eastAsia"/>
                <w:color w:val="auto"/>
                <w:szCs w:val="24"/>
                <w:lang w:val="en-US" w:eastAsia="zh-CN"/>
              </w:rPr>
              <w:t>1</w:t>
            </w:r>
            <w:r>
              <w:rPr>
                <w:color w:val="auto"/>
                <w:szCs w:val="32"/>
              </w:rPr>
              <w:t>。</w:t>
            </w:r>
          </w:p>
          <w:p w14:paraId="600E3528">
            <w:pPr>
              <w:adjustRightInd w:val="0"/>
              <w:snapToGrid w:val="0"/>
              <w:ind w:firstLine="480"/>
              <w:rPr>
                <w:color w:val="auto"/>
                <w:szCs w:val="24"/>
                <w:lang w:val="zh-CN"/>
              </w:rPr>
            </w:pPr>
            <w:r>
              <w:rPr>
                <w:color w:val="auto"/>
                <w:szCs w:val="24"/>
                <w:lang w:val="zh-CN"/>
              </w:rPr>
              <w:t>根据《大气有害物质无组织排放卫生防护距离推导技术导则》（GB/T39499-2020），当企业某生产单元的无组织排放存在多种特征大气有害物质时，如果分别推导出的卫生防护距离初值在同一级别时，则该企业的卫生防护距离终值应提高一级。</w:t>
            </w:r>
          </w:p>
          <w:p w14:paraId="1C1A28F5">
            <w:pPr>
              <w:adjustRightInd w:val="0"/>
              <w:snapToGrid w:val="0"/>
              <w:ind w:firstLine="480"/>
              <w:rPr>
                <w:color w:val="auto"/>
                <w:szCs w:val="24"/>
              </w:rPr>
            </w:pPr>
            <w:r>
              <w:rPr>
                <w:color w:val="auto"/>
                <w:szCs w:val="24"/>
              </w:rPr>
              <w:t>本项目以生产车间设置100米卫生防护距离。根据现场勘查，卫生防护距离范围内无环境敏感目标，能满足卫生防护距离的要求</w:t>
            </w:r>
            <w:r>
              <w:rPr>
                <w:rFonts w:hint="eastAsia"/>
                <w:color w:val="auto"/>
                <w:szCs w:val="24"/>
              </w:rPr>
              <w:t>，</w:t>
            </w:r>
            <w:r>
              <w:rPr>
                <w:rFonts w:hint="eastAsia"/>
                <w:color w:val="auto"/>
                <w:szCs w:val="24"/>
                <w:lang w:val="zh-CN"/>
              </w:rPr>
              <w:t>今后也不得新建居民区、医院、学校等环境敏感点。</w:t>
            </w:r>
          </w:p>
          <w:p w14:paraId="32A20849">
            <w:pPr>
              <w:adjustRightInd w:val="0"/>
              <w:snapToGrid w:val="0"/>
              <w:ind w:firstLine="482"/>
              <w:rPr>
                <w:b/>
                <w:color w:val="auto"/>
                <w:szCs w:val="24"/>
              </w:rPr>
            </w:pPr>
            <w:r>
              <w:rPr>
                <w:b/>
                <w:color w:val="auto"/>
                <w:szCs w:val="24"/>
              </w:rPr>
              <w:t>1.5非正常工况</w:t>
            </w:r>
          </w:p>
          <w:p w14:paraId="0D24A4BA">
            <w:pPr>
              <w:adjustRightInd w:val="0"/>
              <w:snapToGrid w:val="0"/>
              <w:ind w:firstLine="480"/>
              <w:rPr>
                <w:color w:val="auto"/>
                <w:szCs w:val="24"/>
              </w:rPr>
            </w:pPr>
            <w:r>
              <w:rPr>
                <w:color w:val="auto"/>
                <w:szCs w:val="24"/>
              </w:rPr>
              <w:t>非正常工况指生产过程中开、停车（工、炉）状态、设备检修、工艺设备运转异常等非正常工况下的污染物排放，以及污染物排放控制措施达不到应有效率等情况下的排放。</w:t>
            </w:r>
          </w:p>
          <w:p w14:paraId="3780B817">
            <w:pPr>
              <w:adjustRightInd w:val="0"/>
              <w:snapToGrid w:val="0"/>
              <w:ind w:firstLine="482"/>
              <w:rPr>
                <w:color w:val="auto"/>
                <w:szCs w:val="24"/>
              </w:rPr>
            </w:pPr>
            <w:r>
              <w:rPr>
                <w:color w:val="auto"/>
                <w:szCs w:val="24"/>
              </w:rPr>
              <w:t>根据工程分析，本项目非正常排放主要考虑开停车非正常工况、废气处理装置突发检修非正常工况，污染防治设施因维护不到位达不到应有治理效率非正常工况等</w:t>
            </w:r>
            <w:r>
              <w:rPr>
                <w:rFonts w:hint="eastAsia"/>
                <w:color w:val="auto"/>
                <w:szCs w:val="24"/>
              </w:rPr>
              <w:t>。</w:t>
            </w:r>
            <w:r>
              <w:rPr>
                <w:color w:val="auto"/>
                <w:szCs w:val="24"/>
              </w:rPr>
              <w:t>全年异常年发生频次按照2次/年计，单次持续时间为0.5小时。</w:t>
            </w:r>
          </w:p>
          <w:p w14:paraId="36FFDF70">
            <w:pPr>
              <w:adjustRightInd w:val="0"/>
              <w:snapToGrid w:val="0"/>
              <w:ind w:firstLine="482"/>
              <w:rPr>
                <w:b/>
                <w:bCs/>
                <w:color w:val="auto"/>
                <w:szCs w:val="24"/>
              </w:rPr>
            </w:pPr>
            <w:r>
              <w:rPr>
                <w:b/>
                <w:bCs/>
                <w:color w:val="auto"/>
                <w:szCs w:val="24"/>
              </w:rPr>
              <w:t>1.6监测计划</w:t>
            </w:r>
          </w:p>
          <w:p w14:paraId="394AE5FC">
            <w:pPr>
              <w:adjustRightInd w:val="0"/>
              <w:snapToGrid w:val="0"/>
              <w:ind w:firstLine="480"/>
              <w:rPr>
                <w:rFonts w:hint="eastAsia" w:eastAsia="宋体"/>
                <w:color w:val="auto"/>
                <w:szCs w:val="24"/>
                <w:lang w:eastAsia="zh-CN"/>
              </w:rPr>
            </w:pPr>
            <w:r>
              <w:rPr>
                <w:color w:val="auto"/>
                <w:szCs w:val="24"/>
              </w:rPr>
              <w:t>根据《排污许可证申请与核发技术规范 橡胶和塑料制品工业》（HJ1122—2020）、《排污许可证申请与核发技术规范 总则》（HJ942—2018）、《排污单位自行监测技术指南 橡胶和塑料制品》（HJ1207—2021）开展自行监测，本项目营运期废气监测计划见下表</w:t>
            </w:r>
            <w:r>
              <w:rPr>
                <w:rFonts w:hint="eastAsia"/>
                <w:color w:val="auto"/>
                <w:szCs w:val="24"/>
                <w:lang w:eastAsia="zh-CN"/>
              </w:rPr>
              <w:t>。</w:t>
            </w:r>
          </w:p>
          <w:p w14:paraId="0965D967">
            <w:pPr>
              <w:adjustRightInd w:val="0"/>
              <w:snapToGrid w:val="0"/>
              <w:ind w:firstLine="480"/>
              <w:rPr>
                <w:color w:val="auto"/>
                <w:szCs w:val="24"/>
              </w:rPr>
            </w:pPr>
          </w:p>
          <w:p w14:paraId="0E366468">
            <w:pPr>
              <w:pStyle w:val="2"/>
              <w:rPr>
                <w:color w:val="auto"/>
                <w:szCs w:val="24"/>
              </w:rPr>
            </w:pPr>
          </w:p>
          <w:p w14:paraId="3DC2E20F">
            <w:pPr>
              <w:pStyle w:val="3"/>
              <w:widowControl w:val="0"/>
              <w:numPr>
                <w:ilvl w:val="0"/>
                <w:numId w:val="0"/>
              </w:numPr>
              <w:spacing w:line="360" w:lineRule="auto"/>
              <w:jc w:val="both"/>
              <w:rPr>
                <w:color w:val="auto"/>
                <w:szCs w:val="24"/>
              </w:rPr>
            </w:pPr>
          </w:p>
          <w:p w14:paraId="57A89421">
            <w:pPr>
              <w:pStyle w:val="3"/>
              <w:widowControl w:val="0"/>
              <w:numPr>
                <w:ilvl w:val="0"/>
                <w:numId w:val="0"/>
              </w:numPr>
              <w:spacing w:line="360" w:lineRule="auto"/>
              <w:jc w:val="both"/>
              <w:rPr>
                <w:color w:val="auto"/>
                <w:szCs w:val="24"/>
              </w:rPr>
            </w:pPr>
          </w:p>
          <w:p w14:paraId="736CA5B6">
            <w:pPr>
              <w:pStyle w:val="3"/>
              <w:widowControl w:val="0"/>
              <w:numPr>
                <w:ilvl w:val="0"/>
                <w:numId w:val="0"/>
              </w:numPr>
              <w:spacing w:line="360" w:lineRule="auto"/>
              <w:jc w:val="both"/>
              <w:rPr>
                <w:color w:val="auto"/>
                <w:szCs w:val="24"/>
              </w:rPr>
            </w:pPr>
          </w:p>
          <w:p w14:paraId="3D4690C2">
            <w:pPr>
              <w:pStyle w:val="3"/>
              <w:widowControl w:val="0"/>
              <w:numPr>
                <w:ilvl w:val="0"/>
                <w:numId w:val="0"/>
              </w:numPr>
              <w:spacing w:line="360" w:lineRule="auto"/>
              <w:jc w:val="both"/>
              <w:rPr>
                <w:color w:val="auto"/>
                <w:szCs w:val="24"/>
              </w:rPr>
            </w:pPr>
          </w:p>
          <w:p w14:paraId="09651BF8">
            <w:pPr>
              <w:pStyle w:val="3"/>
              <w:widowControl w:val="0"/>
              <w:numPr>
                <w:ilvl w:val="0"/>
                <w:numId w:val="0"/>
              </w:numPr>
              <w:spacing w:line="360" w:lineRule="auto"/>
              <w:jc w:val="both"/>
              <w:rPr>
                <w:color w:val="auto"/>
                <w:szCs w:val="24"/>
              </w:rPr>
            </w:pPr>
          </w:p>
          <w:p w14:paraId="59783AC6">
            <w:pPr>
              <w:pStyle w:val="3"/>
              <w:widowControl w:val="0"/>
              <w:numPr>
                <w:ilvl w:val="0"/>
                <w:numId w:val="0"/>
              </w:numPr>
              <w:spacing w:line="360" w:lineRule="auto"/>
              <w:jc w:val="both"/>
              <w:rPr>
                <w:color w:val="auto"/>
                <w:szCs w:val="24"/>
              </w:rPr>
            </w:pPr>
          </w:p>
          <w:p w14:paraId="7AEBE1DF">
            <w:pPr>
              <w:pStyle w:val="3"/>
              <w:widowControl w:val="0"/>
              <w:numPr>
                <w:ilvl w:val="0"/>
                <w:numId w:val="0"/>
              </w:numPr>
              <w:spacing w:line="360" w:lineRule="auto"/>
              <w:jc w:val="both"/>
              <w:rPr>
                <w:color w:val="auto"/>
                <w:szCs w:val="24"/>
              </w:rPr>
            </w:pPr>
          </w:p>
          <w:p w14:paraId="23520AA1">
            <w:pPr>
              <w:adjustRightInd w:val="0"/>
              <w:snapToGrid w:val="0"/>
              <w:ind w:firstLine="480"/>
              <w:rPr>
                <w:color w:val="auto"/>
                <w:szCs w:val="24"/>
              </w:rPr>
            </w:pPr>
          </w:p>
        </w:tc>
      </w:tr>
    </w:tbl>
    <w:p w14:paraId="32D2A957">
      <w:pPr>
        <w:pStyle w:val="13"/>
        <w:spacing w:after="0"/>
        <w:ind w:left="0" w:leftChars="0" w:right="0" w:rightChars="0" w:firstLine="480"/>
        <w:rPr>
          <w:color w:val="auto"/>
        </w:rPr>
        <w:sectPr>
          <w:pgSz w:w="11906" w:h="16838"/>
          <w:pgMar w:top="1440" w:right="1800" w:bottom="1440" w:left="1800" w:header="851" w:footer="992" w:gutter="0"/>
          <w:cols w:space="720" w:num="1"/>
          <w:docGrid w:type="lines" w:linePitch="312" w:charSpace="0"/>
        </w:sectPr>
      </w:pPr>
    </w:p>
    <w:tbl>
      <w:tblPr>
        <w:tblStyle w:val="2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3566A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70" w:hRule="atLeast"/>
          <w:jc w:val="center"/>
        </w:trPr>
        <w:tc>
          <w:tcPr>
            <w:tcW w:w="746" w:type="dxa"/>
            <w:tcBorders>
              <w:top w:val="single" w:color="auto" w:sz="2" w:space="0"/>
              <w:bottom w:val="single" w:color="auto" w:sz="2" w:space="0"/>
            </w:tcBorders>
            <w:tcMar>
              <w:left w:w="28" w:type="dxa"/>
              <w:right w:w="28" w:type="dxa"/>
            </w:tcMar>
            <w:vAlign w:val="center"/>
          </w:tcPr>
          <w:p w14:paraId="58F6DA60">
            <w:pPr>
              <w:adjustRightInd w:val="0"/>
              <w:snapToGrid w:val="0"/>
              <w:ind w:firstLine="0" w:firstLineChars="0"/>
              <w:jc w:val="center"/>
              <w:rPr>
                <w:bCs/>
                <w:color w:val="auto"/>
              </w:rPr>
            </w:pPr>
            <w:r>
              <w:rPr>
                <w:bCs/>
                <w:color w:val="auto"/>
              </w:rPr>
              <w:t>运营</w:t>
            </w:r>
          </w:p>
          <w:p w14:paraId="11247CBB">
            <w:pPr>
              <w:adjustRightInd w:val="0"/>
              <w:snapToGrid w:val="0"/>
              <w:ind w:firstLine="0" w:firstLineChars="0"/>
              <w:jc w:val="center"/>
              <w:rPr>
                <w:bCs/>
                <w:color w:val="auto"/>
              </w:rPr>
            </w:pPr>
            <w:r>
              <w:rPr>
                <w:bCs/>
                <w:color w:val="auto"/>
              </w:rPr>
              <w:t>期环</w:t>
            </w:r>
          </w:p>
          <w:p w14:paraId="3FD1BBF8">
            <w:pPr>
              <w:adjustRightInd w:val="0"/>
              <w:snapToGrid w:val="0"/>
              <w:ind w:firstLine="0" w:firstLineChars="0"/>
              <w:jc w:val="center"/>
              <w:rPr>
                <w:bCs/>
                <w:color w:val="auto"/>
              </w:rPr>
            </w:pPr>
            <w:r>
              <w:rPr>
                <w:bCs/>
                <w:color w:val="auto"/>
              </w:rPr>
              <w:t>境影</w:t>
            </w:r>
          </w:p>
          <w:p w14:paraId="6C24EF1C">
            <w:pPr>
              <w:adjustRightInd w:val="0"/>
              <w:snapToGrid w:val="0"/>
              <w:ind w:firstLine="0" w:firstLineChars="0"/>
              <w:jc w:val="center"/>
              <w:rPr>
                <w:bCs/>
                <w:color w:val="auto"/>
              </w:rPr>
            </w:pPr>
            <w:r>
              <w:rPr>
                <w:bCs/>
                <w:color w:val="auto"/>
              </w:rPr>
              <w:t>响和</w:t>
            </w:r>
          </w:p>
          <w:p w14:paraId="5FF5F317">
            <w:pPr>
              <w:adjustRightInd w:val="0"/>
              <w:snapToGrid w:val="0"/>
              <w:ind w:firstLine="0" w:firstLineChars="0"/>
              <w:jc w:val="center"/>
              <w:rPr>
                <w:bCs/>
                <w:color w:val="auto"/>
              </w:rPr>
            </w:pPr>
            <w:r>
              <w:rPr>
                <w:bCs/>
                <w:color w:val="auto"/>
              </w:rPr>
              <w:t>保护</w:t>
            </w:r>
          </w:p>
          <w:p w14:paraId="797BA52D">
            <w:pPr>
              <w:adjustRightInd w:val="0"/>
              <w:snapToGrid w:val="0"/>
              <w:ind w:firstLine="0" w:firstLineChars="0"/>
              <w:jc w:val="center"/>
              <w:rPr>
                <w:bCs/>
                <w:color w:val="auto"/>
              </w:rPr>
            </w:pPr>
            <w:r>
              <w:rPr>
                <w:bCs/>
                <w:color w:val="auto"/>
              </w:rPr>
              <w:t>措施</w:t>
            </w:r>
          </w:p>
        </w:tc>
        <w:tc>
          <w:tcPr>
            <w:tcW w:w="8162" w:type="dxa"/>
            <w:tcBorders>
              <w:top w:val="single" w:color="auto" w:sz="2" w:space="0"/>
              <w:bottom w:val="single" w:color="auto" w:sz="2" w:space="0"/>
            </w:tcBorders>
          </w:tcPr>
          <w:p w14:paraId="177C97CD">
            <w:pPr>
              <w:adjustRightInd w:val="0"/>
              <w:snapToGrid w:val="0"/>
              <w:ind w:firstLine="482"/>
              <w:rPr>
                <w:b/>
                <w:bCs/>
                <w:color w:val="auto"/>
                <w:szCs w:val="24"/>
              </w:rPr>
            </w:pPr>
            <w:r>
              <w:rPr>
                <w:b/>
                <w:bCs/>
                <w:color w:val="auto"/>
                <w:szCs w:val="24"/>
              </w:rPr>
              <w:t>2.2接管可行性分析</w:t>
            </w:r>
          </w:p>
          <w:p w14:paraId="21D84F0B">
            <w:pPr>
              <w:adjustRightInd w:val="0"/>
              <w:snapToGrid w:val="0"/>
              <w:ind w:firstLine="480"/>
              <w:rPr>
                <w:color w:val="auto"/>
                <w:kern w:val="0"/>
                <w:szCs w:val="24"/>
              </w:rPr>
            </w:pPr>
            <w:r>
              <w:rPr>
                <w:color w:val="auto"/>
                <w:kern w:val="0"/>
                <w:szCs w:val="24"/>
              </w:rPr>
              <w:t>①</w:t>
            </w:r>
            <w:r>
              <w:rPr>
                <w:bCs/>
                <w:color w:val="auto"/>
                <w:szCs w:val="24"/>
              </w:rPr>
              <w:t>江阴市城南污水处理有限公司</w:t>
            </w:r>
            <w:r>
              <w:rPr>
                <w:color w:val="auto"/>
                <w:kern w:val="0"/>
                <w:szCs w:val="24"/>
              </w:rPr>
              <w:t>概况</w:t>
            </w:r>
          </w:p>
          <w:p w14:paraId="35854DFF">
            <w:pPr>
              <w:adjustRightInd w:val="0"/>
              <w:snapToGrid w:val="0"/>
              <w:ind w:firstLine="480"/>
              <w:rPr>
                <w:color w:val="auto"/>
                <w:kern w:val="0"/>
                <w:szCs w:val="24"/>
              </w:rPr>
            </w:pPr>
            <w:r>
              <w:rPr>
                <w:color w:val="auto"/>
                <w:kern w:val="0"/>
                <w:szCs w:val="24"/>
              </w:rPr>
              <w:t>江阴市城南污水处理有限公司位于源通污水厂以北、北环路以南、新长铁路以东、锡澄运河以西地块，现污水处理能力为2万吨/天（远期建成后总规模为5万吨/天），主要接纳青阳镇域（含江阴高新技术产业开发区青阳园区）内的工业废水和生活污水，处理主体工艺为：“粗格栅进水泵房+细格栅曝气沉砂池及膜格栅+一体化MBR池+臭氧接触池+消毒池，尾水经生态湿地后外排至锡澄运河；工业废水经调节池+浅层气浮池预处理后进入主体处理流程。”尾水最终全部排入锡澄运河。出水水质执行《太湖地区城镇污水处理厂及重点工业行业主要水污染物排放限值》（DB32/1072-2018）表2标准和《城镇污水处理厂污染物排放标准》（GB18918-2002)表1一级A标准。污水厂的具体处理工艺见图4-</w:t>
            </w:r>
            <w:r>
              <w:rPr>
                <w:rFonts w:hint="eastAsia"/>
                <w:color w:val="auto"/>
                <w:kern w:val="0"/>
                <w:szCs w:val="24"/>
              </w:rPr>
              <w:t>5</w:t>
            </w:r>
            <w:r>
              <w:rPr>
                <w:color w:val="auto"/>
                <w:kern w:val="0"/>
                <w:szCs w:val="24"/>
              </w:rPr>
              <w:t>。</w:t>
            </w:r>
          </w:p>
          <w:p w14:paraId="74BB2F5A">
            <w:pPr>
              <w:tabs>
                <w:tab w:val="left" w:pos="5760"/>
              </w:tabs>
              <w:adjustRightInd w:val="0"/>
              <w:snapToGrid w:val="0"/>
              <w:ind w:firstLine="0" w:firstLineChars="0"/>
              <w:jc w:val="center"/>
              <w:rPr>
                <w:color w:val="auto"/>
                <w:kern w:val="0"/>
                <w:szCs w:val="24"/>
              </w:rPr>
            </w:pPr>
            <w:r>
              <w:rPr>
                <w:color w:val="auto"/>
                <w:kern w:val="0"/>
                <w:szCs w:val="24"/>
              </w:rPr>
              <w:drawing>
                <wp:inline distT="0" distB="0" distL="114300" distR="114300">
                  <wp:extent cx="4046220" cy="4093210"/>
                  <wp:effectExtent l="0" t="0" r="11430" b="2540"/>
                  <wp:docPr id="152"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30"/>
                          <pic:cNvPicPr>
                            <a:picLocks noChangeAspect="1"/>
                          </pic:cNvPicPr>
                        </pic:nvPicPr>
                        <pic:blipFill>
                          <a:blip r:embed="rId22"/>
                          <a:stretch>
                            <a:fillRect/>
                          </a:stretch>
                        </pic:blipFill>
                        <pic:spPr>
                          <a:xfrm>
                            <a:off x="0" y="0"/>
                            <a:ext cx="4046220" cy="4093210"/>
                          </a:xfrm>
                          <a:prstGeom prst="rect">
                            <a:avLst/>
                          </a:prstGeom>
                          <a:noFill/>
                          <a:ln>
                            <a:noFill/>
                          </a:ln>
                        </pic:spPr>
                      </pic:pic>
                    </a:graphicData>
                  </a:graphic>
                </wp:inline>
              </w:drawing>
            </w:r>
          </w:p>
          <w:p w14:paraId="490754DC">
            <w:pPr>
              <w:pStyle w:val="20"/>
              <w:spacing w:line="360" w:lineRule="auto"/>
              <w:ind w:left="-2" w:leftChars="-1" w:firstLine="482"/>
              <w:jc w:val="center"/>
              <w:rPr>
                <w:rFonts w:ascii="Times New Roman" w:hAnsi="Times New Roman"/>
                <w:b/>
                <w:bCs/>
                <w:color w:val="auto"/>
                <w:szCs w:val="24"/>
              </w:rPr>
            </w:pPr>
            <w:r>
              <w:rPr>
                <w:rFonts w:ascii="Times New Roman" w:hAnsi="Times New Roman"/>
                <w:b/>
                <w:bCs/>
                <w:color w:val="auto"/>
                <w:szCs w:val="24"/>
              </w:rPr>
              <w:t>图4-</w:t>
            </w:r>
            <w:r>
              <w:rPr>
                <w:rFonts w:hint="eastAsia" w:ascii="Times New Roman" w:hAnsi="Times New Roman"/>
                <w:b/>
                <w:bCs/>
                <w:color w:val="auto"/>
                <w:szCs w:val="24"/>
                <w:lang w:val="en-US" w:eastAsia="zh-CN"/>
              </w:rPr>
              <w:t>4</w:t>
            </w:r>
            <w:r>
              <w:rPr>
                <w:rFonts w:ascii="Times New Roman" w:hAnsi="Times New Roman"/>
                <w:b/>
                <w:bCs/>
                <w:color w:val="auto"/>
                <w:szCs w:val="24"/>
              </w:rPr>
              <w:t>污水厂废水处理工艺流程图</w:t>
            </w:r>
          </w:p>
          <w:p w14:paraId="394F4C40">
            <w:pPr>
              <w:widowControl/>
              <w:adjustRightInd w:val="0"/>
              <w:snapToGrid w:val="0"/>
              <w:ind w:firstLine="480"/>
              <w:jc w:val="left"/>
              <w:rPr>
                <w:color w:val="auto"/>
                <w:kern w:val="0"/>
                <w:szCs w:val="24"/>
              </w:rPr>
            </w:pPr>
            <w:r>
              <w:rPr>
                <w:color w:val="auto"/>
                <w:kern w:val="0"/>
                <w:szCs w:val="24"/>
              </w:rPr>
              <w:t>②</w:t>
            </w:r>
            <w:r>
              <w:rPr>
                <w:bCs/>
                <w:color w:val="auto"/>
                <w:kern w:val="0"/>
                <w:szCs w:val="24"/>
              </w:rPr>
              <w:t>污水厂达标排放情况</w:t>
            </w:r>
          </w:p>
          <w:p w14:paraId="322CF2F1">
            <w:pPr>
              <w:widowControl/>
              <w:kinsoku w:val="0"/>
              <w:overflowPunct w:val="0"/>
              <w:autoSpaceDE w:val="0"/>
              <w:autoSpaceDN w:val="0"/>
              <w:adjustRightInd w:val="0"/>
              <w:snapToGrid w:val="0"/>
              <w:ind w:firstLine="480"/>
              <w:jc w:val="left"/>
              <w:rPr>
                <w:color w:val="auto"/>
                <w:kern w:val="0"/>
                <w:szCs w:val="24"/>
              </w:rPr>
            </w:pPr>
            <w:r>
              <w:rPr>
                <w:color w:val="auto"/>
                <w:kern w:val="0"/>
                <w:szCs w:val="24"/>
              </w:rPr>
              <w:t>根据污水厂例行监测数据、江苏省排污单位自行监测信息发布平台在线监测数据和生态环境部门监督性监测数据，污水厂最终尾水排放执行</w:t>
            </w:r>
            <w:r>
              <w:rPr>
                <w:snapToGrid w:val="0"/>
                <w:color w:val="auto"/>
                <w:kern w:val="21"/>
                <w:szCs w:val="24"/>
              </w:rPr>
              <w:t>《太湖地区城镇污水处理厂及重点工业行业主要水污染物排放限值》（DB32/1072-2018）表2标准和《城镇污水处理厂污染物排放标准》（GB18918-2002）表1一级A标准</w:t>
            </w:r>
            <w:r>
              <w:rPr>
                <w:color w:val="auto"/>
                <w:szCs w:val="24"/>
              </w:rPr>
              <w:t>（自2026年3月28日起应执行《城镇污水处理厂污染物排放标准》（DB32/4440-2022）表1中C标准）</w:t>
            </w:r>
            <w:r>
              <w:rPr>
                <w:snapToGrid w:val="0"/>
                <w:color w:val="auto"/>
                <w:kern w:val="21"/>
                <w:szCs w:val="24"/>
              </w:rPr>
              <w:t>。</w:t>
            </w:r>
          </w:p>
          <w:p w14:paraId="0170CA2B">
            <w:pPr>
              <w:widowControl/>
              <w:adjustRightInd w:val="0"/>
              <w:snapToGrid w:val="0"/>
              <w:ind w:firstLine="480"/>
              <w:jc w:val="left"/>
              <w:rPr>
                <w:bCs/>
                <w:color w:val="auto"/>
                <w:kern w:val="0"/>
                <w:szCs w:val="24"/>
              </w:rPr>
            </w:pPr>
            <w:r>
              <w:rPr>
                <w:bCs/>
                <w:color w:val="auto"/>
                <w:kern w:val="0"/>
                <w:szCs w:val="24"/>
              </w:rPr>
              <w:t>③接管可行性</w:t>
            </w:r>
          </w:p>
          <w:p w14:paraId="5F087317">
            <w:pPr>
              <w:widowControl/>
              <w:numPr>
                <w:ilvl w:val="0"/>
                <w:numId w:val="4"/>
              </w:numPr>
              <w:adjustRightInd w:val="0"/>
              <w:snapToGrid w:val="0"/>
              <w:ind w:firstLine="480"/>
              <w:jc w:val="left"/>
              <w:rPr>
                <w:color w:val="auto"/>
                <w:kern w:val="0"/>
                <w:szCs w:val="24"/>
              </w:rPr>
            </w:pPr>
            <w:r>
              <w:rPr>
                <w:color w:val="auto"/>
                <w:kern w:val="0"/>
                <w:szCs w:val="24"/>
              </w:rPr>
              <w:t>接管处理能力分析</w:t>
            </w:r>
          </w:p>
          <w:p w14:paraId="62341E49">
            <w:pPr>
              <w:pStyle w:val="2"/>
              <w:adjustRightInd w:val="0"/>
              <w:spacing w:before="0" w:after="0" w:line="360" w:lineRule="auto"/>
              <w:ind w:right="0" w:firstLine="480"/>
              <w:jc w:val="left"/>
              <w:rPr>
                <w:color w:val="auto"/>
                <w:sz w:val="24"/>
                <w:szCs w:val="24"/>
              </w:rPr>
            </w:pPr>
            <w:r>
              <w:rPr>
                <w:color w:val="auto"/>
                <w:sz w:val="24"/>
                <w:szCs w:val="24"/>
              </w:rPr>
              <w:t>江阴市城南污水处理有限公司处理规模为2万t/d，目前尚有余量。根据工程分析核算，本项目</w:t>
            </w:r>
            <w:r>
              <w:rPr>
                <w:rFonts w:hint="eastAsia"/>
                <w:color w:val="auto"/>
                <w:sz w:val="24"/>
                <w:szCs w:val="24"/>
              </w:rPr>
              <w:t>1.6</w:t>
            </w:r>
            <w:r>
              <w:rPr>
                <w:color w:val="auto"/>
                <w:sz w:val="24"/>
                <w:szCs w:val="24"/>
              </w:rPr>
              <w:t>吨/天（年工作日按照312天计）的纳管要求，约占污水厂日处理量的0.00</w:t>
            </w:r>
            <w:r>
              <w:rPr>
                <w:rFonts w:hint="eastAsia"/>
                <w:color w:val="auto"/>
                <w:sz w:val="24"/>
                <w:szCs w:val="24"/>
              </w:rPr>
              <w:t>8</w:t>
            </w:r>
            <w:r>
              <w:rPr>
                <w:color w:val="auto"/>
                <w:sz w:val="24"/>
                <w:szCs w:val="24"/>
              </w:rPr>
              <w:t>%。因此，污水处理厂有充足的余量接纳本项目生活污水，从接管容量上分析是可行的，地表水环境影响可接受。</w:t>
            </w:r>
          </w:p>
          <w:p w14:paraId="047AAF2A">
            <w:pPr>
              <w:pStyle w:val="2"/>
              <w:adjustRightInd w:val="0"/>
              <w:spacing w:before="0" w:after="0" w:line="360" w:lineRule="auto"/>
              <w:ind w:right="0" w:firstLine="480"/>
              <w:jc w:val="left"/>
              <w:rPr>
                <w:color w:val="auto"/>
                <w:sz w:val="24"/>
                <w:szCs w:val="24"/>
              </w:rPr>
            </w:pPr>
            <w:r>
              <w:rPr>
                <w:color w:val="auto"/>
                <w:sz w:val="24"/>
                <w:szCs w:val="24"/>
              </w:rPr>
              <w:t>b、接管水质可行性分析</w:t>
            </w:r>
          </w:p>
          <w:p w14:paraId="719E8D29">
            <w:pPr>
              <w:widowControl/>
              <w:adjustRightInd w:val="0"/>
              <w:snapToGrid w:val="0"/>
              <w:ind w:firstLine="480"/>
              <w:jc w:val="left"/>
              <w:rPr>
                <w:color w:val="auto"/>
                <w:kern w:val="0"/>
                <w:szCs w:val="24"/>
              </w:rPr>
            </w:pPr>
            <w:r>
              <w:rPr>
                <w:color w:val="auto"/>
                <w:kern w:val="0"/>
                <w:szCs w:val="24"/>
              </w:rPr>
              <w:t>本项目废水主要为生活污水，主要污染因子为COD、SS、氨氮、总磷、总氮，水质简单，废水排放浓度可以满足</w:t>
            </w:r>
            <w:r>
              <w:rPr>
                <w:color w:val="auto"/>
                <w:szCs w:val="24"/>
              </w:rPr>
              <w:t>江阴市城南污水处理有限公司</w:t>
            </w:r>
            <w:r>
              <w:rPr>
                <w:color w:val="auto"/>
                <w:kern w:val="0"/>
                <w:szCs w:val="24"/>
              </w:rPr>
              <w:t>的接管要求，不会对其形成冲击负荷。</w:t>
            </w:r>
          </w:p>
          <w:p w14:paraId="6A9A52DB">
            <w:pPr>
              <w:widowControl/>
              <w:adjustRightInd w:val="0"/>
              <w:snapToGrid w:val="0"/>
              <w:ind w:firstLine="480"/>
              <w:jc w:val="left"/>
              <w:rPr>
                <w:color w:val="auto"/>
                <w:kern w:val="0"/>
                <w:szCs w:val="24"/>
              </w:rPr>
            </w:pPr>
            <w:r>
              <w:rPr>
                <w:color w:val="auto"/>
                <w:kern w:val="0"/>
                <w:szCs w:val="24"/>
              </w:rPr>
              <w:t>c、污水收集管网</w:t>
            </w:r>
          </w:p>
          <w:p w14:paraId="3D698A3A">
            <w:pPr>
              <w:pStyle w:val="44"/>
              <w:adjustRightInd w:val="0"/>
              <w:snapToGrid w:val="0"/>
              <w:ind w:firstLine="480"/>
              <w:rPr>
                <w:color w:val="auto"/>
                <w:kern w:val="0"/>
                <w:szCs w:val="24"/>
              </w:rPr>
            </w:pPr>
            <w:r>
              <w:rPr>
                <w:color w:val="auto"/>
                <w:kern w:val="0"/>
                <w:szCs w:val="24"/>
              </w:rPr>
              <w:t>项目所在地位于</w:t>
            </w:r>
            <w:r>
              <w:rPr>
                <w:color w:val="auto"/>
                <w:szCs w:val="24"/>
              </w:rPr>
              <w:t>江阴市城南污水处理有限公司</w:t>
            </w:r>
            <w:r>
              <w:rPr>
                <w:color w:val="auto"/>
                <w:kern w:val="0"/>
                <w:szCs w:val="24"/>
              </w:rPr>
              <w:t>接管范围内，该地污水管网已建成，因此，本项目生活污水接管</w:t>
            </w:r>
            <w:r>
              <w:rPr>
                <w:color w:val="auto"/>
                <w:szCs w:val="24"/>
              </w:rPr>
              <w:t>江阴市城南污水处理有限公司</w:t>
            </w:r>
            <w:r>
              <w:rPr>
                <w:color w:val="auto"/>
                <w:kern w:val="0"/>
                <w:szCs w:val="24"/>
              </w:rPr>
              <w:t>处理可行。</w:t>
            </w:r>
          </w:p>
          <w:p w14:paraId="3EDF0591">
            <w:pPr>
              <w:pStyle w:val="44"/>
              <w:adjustRightInd w:val="0"/>
              <w:snapToGrid w:val="0"/>
              <w:ind w:firstLine="480"/>
              <w:rPr>
                <w:b/>
                <w:bCs/>
                <w:color w:val="auto"/>
                <w:szCs w:val="24"/>
              </w:rPr>
            </w:pPr>
            <w:r>
              <w:rPr>
                <w:color w:val="auto"/>
                <w:szCs w:val="24"/>
              </w:rPr>
              <w:t>综上，本项目生活污水接入江阴市城南污水处理有限公司处置可行。</w:t>
            </w:r>
          </w:p>
          <w:p w14:paraId="1C8C8D2F">
            <w:pPr>
              <w:widowControl/>
              <w:adjustRightInd w:val="0"/>
              <w:snapToGrid w:val="0"/>
              <w:ind w:firstLine="482"/>
              <w:jc w:val="left"/>
              <w:rPr>
                <w:color w:val="auto"/>
                <w:szCs w:val="24"/>
              </w:rPr>
            </w:pPr>
            <w:r>
              <w:rPr>
                <w:b/>
                <w:bCs/>
                <w:color w:val="auto"/>
                <w:kern w:val="0"/>
                <w:szCs w:val="24"/>
                <w:lang w:bidi="ar"/>
              </w:rPr>
              <w:t>2.</w:t>
            </w:r>
            <w:r>
              <w:rPr>
                <w:rFonts w:hint="eastAsia"/>
                <w:b/>
                <w:bCs/>
                <w:color w:val="auto"/>
                <w:kern w:val="0"/>
                <w:szCs w:val="24"/>
                <w:lang w:bidi="ar"/>
              </w:rPr>
              <w:t>3</w:t>
            </w:r>
            <w:r>
              <w:rPr>
                <w:b/>
                <w:bCs/>
                <w:color w:val="auto"/>
                <w:kern w:val="0"/>
                <w:szCs w:val="24"/>
                <w:lang w:bidi="ar"/>
              </w:rPr>
              <w:t>雨水排口设置要求</w:t>
            </w:r>
          </w:p>
          <w:p w14:paraId="7066C04D">
            <w:pPr>
              <w:widowControl/>
              <w:adjustRightInd w:val="0"/>
              <w:snapToGrid w:val="0"/>
              <w:ind w:firstLine="480"/>
              <w:jc w:val="left"/>
              <w:rPr>
                <w:color w:val="auto"/>
                <w:szCs w:val="24"/>
              </w:rPr>
            </w:pPr>
            <w:r>
              <w:rPr>
                <w:color w:val="auto"/>
                <w:szCs w:val="24"/>
              </w:rPr>
              <w:t>雨水排放口前端应设置明渠（排放井），以便于日常检查、采样检测，排放口安装截止阀。</w:t>
            </w:r>
            <w:r>
              <w:rPr>
                <w:rFonts w:hint="eastAsia"/>
                <w:color w:val="auto"/>
                <w:szCs w:val="24"/>
                <w:lang w:val="en-US" w:eastAsia="zh-CN"/>
              </w:rPr>
              <w:t>项目所在地厂区雨水收集后经市政雨水管网排入河道，厂区雨水污染物指标</w:t>
            </w:r>
            <w:r>
              <w:rPr>
                <w:rFonts w:hint="default"/>
                <w:color w:val="auto"/>
                <w:szCs w:val="24"/>
                <w:lang w:val="en-US" w:eastAsia="zh-CN"/>
              </w:rPr>
              <w:t>COD</w:t>
            </w:r>
            <w:r>
              <w:rPr>
                <w:rFonts w:hint="eastAsia"/>
                <w:color w:val="auto"/>
                <w:szCs w:val="24"/>
                <w:lang w:val="en-US" w:eastAsia="zh-CN"/>
              </w:rPr>
              <w:t>、</w:t>
            </w:r>
            <w:r>
              <w:rPr>
                <w:rFonts w:hint="default"/>
                <w:color w:val="auto"/>
                <w:szCs w:val="24"/>
                <w:lang w:val="en-US" w:eastAsia="zh-CN"/>
              </w:rPr>
              <w:t>SS</w:t>
            </w:r>
            <w:r>
              <w:rPr>
                <w:rFonts w:hint="eastAsia"/>
                <w:color w:val="auto"/>
                <w:szCs w:val="24"/>
                <w:lang w:val="en-US" w:eastAsia="zh-CN"/>
              </w:rPr>
              <w:t>管控参照《江苏省重点行业工业企业雨水排放环境管理办法（试行）》执行。</w:t>
            </w:r>
          </w:p>
          <w:p w14:paraId="41434A67">
            <w:pPr>
              <w:adjustRightInd w:val="0"/>
              <w:snapToGrid w:val="0"/>
              <w:ind w:firstLine="482"/>
              <w:rPr>
                <w:b/>
                <w:bCs/>
                <w:color w:val="auto"/>
                <w:kern w:val="0"/>
                <w:szCs w:val="24"/>
                <w:lang w:bidi="ar"/>
              </w:rPr>
            </w:pPr>
            <w:r>
              <w:rPr>
                <w:b/>
                <w:bCs/>
                <w:color w:val="auto"/>
                <w:kern w:val="0"/>
                <w:szCs w:val="24"/>
                <w:lang w:bidi="ar"/>
              </w:rPr>
              <w:t>2.</w:t>
            </w:r>
            <w:r>
              <w:rPr>
                <w:rFonts w:hint="eastAsia"/>
                <w:b/>
                <w:bCs/>
                <w:color w:val="auto"/>
                <w:kern w:val="0"/>
                <w:szCs w:val="24"/>
                <w:lang w:bidi="ar"/>
              </w:rPr>
              <w:t>4</w:t>
            </w:r>
            <w:r>
              <w:rPr>
                <w:b/>
                <w:bCs/>
                <w:color w:val="auto"/>
                <w:kern w:val="0"/>
                <w:szCs w:val="24"/>
                <w:lang w:bidi="ar"/>
              </w:rPr>
              <w:t>监测计划</w:t>
            </w:r>
          </w:p>
          <w:p w14:paraId="4D8A2EA1">
            <w:pPr>
              <w:adjustRightInd w:val="0"/>
              <w:snapToGrid w:val="0"/>
              <w:ind w:firstLine="480"/>
              <w:rPr>
                <w:color w:val="auto"/>
                <w:kern w:val="0"/>
                <w:szCs w:val="24"/>
                <w:lang w:bidi="ar"/>
              </w:rPr>
            </w:pPr>
            <w:r>
              <w:rPr>
                <w:color w:val="auto"/>
                <w:kern w:val="0"/>
                <w:szCs w:val="24"/>
                <w:lang w:bidi="ar"/>
              </w:rPr>
              <w:t>本项目废水主要为生活污水，生活污水经化粪池预处理后通过污水接管口接入江阴市城南污水处理有限公司集中处理，故不开展地表水环境监测计划。</w:t>
            </w:r>
          </w:p>
          <w:p w14:paraId="492BAED4">
            <w:pPr>
              <w:adjustRightInd w:val="0"/>
              <w:snapToGrid w:val="0"/>
              <w:ind w:firstLine="482"/>
              <w:rPr>
                <w:b/>
                <w:bCs/>
                <w:color w:val="auto"/>
                <w:szCs w:val="24"/>
              </w:rPr>
            </w:pPr>
            <w:r>
              <w:rPr>
                <w:b/>
                <w:bCs/>
                <w:color w:val="auto"/>
                <w:szCs w:val="24"/>
              </w:rPr>
              <w:t>3、噪声</w:t>
            </w:r>
          </w:p>
          <w:p w14:paraId="00E03BE6">
            <w:pPr>
              <w:adjustRightInd w:val="0"/>
              <w:snapToGrid w:val="0"/>
              <w:ind w:firstLine="482"/>
              <w:rPr>
                <w:color w:val="auto"/>
              </w:rPr>
            </w:pPr>
            <w:r>
              <w:rPr>
                <w:b/>
                <w:bCs/>
                <w:color w:val="auto"/>
                <w:szCs w:val="24"/>
              </w:rPr>
              <w:t>3.1噪声源强</w:t>
            </w:r>
          </w:p>
        </w:tc>
      </w:tr>
    </w:tbl>
    <w:p w14:paraId="3E607D5C">
      <w:pPr>
        <w:pStyle w:val="3"/>
        <w:numPr>
          <w:ilvl w:val="0"/>
          <w:numId w:val="0"/>
        </w:numPr>
        <w:rPr>
          <w:color w:val="auto"/>
        </w:rPr>
        <w:sectPr>
          <w:headerReference r:id="rId9" w:type="default"/>
          <w:footerReference r:id="rId10" w:type="default"/>
          <w:pgSz w:w="11906" w:h="16838"/>
          <w:pgMar w:top="1083" w:right="1800" w:bottom="1083" w:left="1800" w:header="851" w:footer="992" w:gutter="0"/>
          <w:cols w:space="720" w:num="1"/>
          <w:docGrid w:type="lines" w:linePitch="312" w:charSpace="0"/>
        </w:sectPr>
      </w:pPr>
    </w:p>
    <w:tbl>
      <w:tblPr>
        <w:tblStyle w:val="2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3FFBD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46" w:type="dxa"/>
            <w:tcBorders>
              <w:top w:val="single" w:color="auto" w:sz="2" w:space="0"/>
            </w:tcBorders>
            <w:tcMar>
              <w:left w:w="28" w:type="dxa"/>
              <w:right w:w="28" w:type="dxa"/>
            </w:tcMar>
            <w:vAlign w:val="center"/>
          </w:tcPr>
          <w:p w14:paraId="04357B44">
            <w:pPr>
              <w:pStyle w:val="42"/>
              <w:rPr>
                <w:color w:val="auto"/>
                <w:sz w:val="24"/>
                <w:szCs w:val="24"/>
              </w:rPr>
            </w:pPr>
            <w:r>
              <w:rPr>
                <w:color w:val="auto"/>
                <w:sz w:val="24"/>
                <w:szCs w:val="24"/>
              </w:rPr>
              <w:t>运营</w:t>
            </w:r>
          </w:p>
          <w:p w14:paraId="12C6A3D1">
            <w:pPr>
              <w:pStyle w:val="42"/>
              <w:rPr>
                <w:color w:val="auto"/>
                <w:sz w:val="24"/>
                <w:szCs w:val="24"/>
              </w:rPr>
            </w:pPr>
            <w:r>
              <w:rPr>
                <w:color w:val="auto"/>
                <w:sz w:val="24"/>
                <w:szCs w:val="24"/>
              </w:rPr>
              <w:t>期环</w:t>
            </w:r>
          </w:p>
          <w:p w14:paraId="698740AC">
            <w:pPr>
              <w:pStyle w:val="42"/>
              <w:rPr>
                <w:color w:val="auto"/>
                <w:sz w:val="24"/>
                <w:szCs w:val="24"/>
              </w:rPr>
            </w:pPr>
            <w:r>
              <w:rPr>
                <w:color w:val="auto"/>
                <w:sz w:val="24"/>
                <w:szCs w:val="24"/>
              </w:rPr>
              <w:t>境影</w:t>
            </w:r>
          </w:p>
          <w:p w14:paraId="04C8E5B9">
            <w:pPr>
              <w:pStyle w:val="42"/>
              <w:rPr>
                <w:color w:val="auto"/>
                <w:sz w:val="24"/>
                <w:szCs w:val="24"/>
              </w:rPr>
            </w:pPr>
            <w:r>
              <w:rPr>
                <w:color w:val="auto"/>
                <w:sz w:val="24"/>
                <w:szCs w:val="24"/>
              </w:rPr>
              <w:t>响和</w:t>
            </w:r>
          </w:p>
          <w:p w14:paraId="2A219884">
            <w:pPr>
              <w:pStyle w:val="42"/>
              <w:rPr>
                <w:color w:val="auto"/>
                <w:sz w:val="24"/>
                <w:szCs w:val="24"/>
              </w:rPr>
            </w:pPr>
            <w:r>
              <w:rPr>
                <w:color w:val="auto"/>
                <w:sz w:val="24"/>
                <w:szCs w:val="24"/>
              </w:rPr>
              <w:t>保护</w:t>
            </w:r>
          </w:p>
          <w:p w14:paraId="65E4BD2B">
            <w:pPr>
              <w:pStyle w:val="42"/>
              <w:rPr>
                <w:bCs/>
                <w:color w:val="auto"/>
              </w:rPr>
            </w:pPr>
            <w:r>
              <w:rPr>
                <w:color w:val="auto"/>
                <w:sz w:val="24"/>
                <w:szCs w:val="24"/>
              </w:rPr>
              <w:t>措施</w:t>
            </w:r>
          </w:p>
        </w:tc>
        <w:tc>
          <w:tcPr>
            <w:tcW w:w="8162" w:type="dxa"/>
            <w:tcBorders>
              <w:top w:val="single" w:color="auto" w:sz="2" w:space="0"/>
            </w:tcBorders>
            <w:vAlign w:val="center"/>
          </w:tcPr>
          <w:p w14:paraId="133A03D3">
            <w:pPr>
              <w:widowControl/>
              <w:adjustRightInd w:val="0"/>
              <w:snapToGrid w:val="0"/>
              <w:ind w:firstLine="482"/>
              <w:jc w:val="left"/>
              <w:rPr>
                <w:color w:val="auto"/>
                <w:szCs w:val="24"/>
              </w:rPr>
            </w:pPr>
            <w:r>
              <w:rPr>
                <w:b/>
                <w:bCs/>
                <w:color w:val="auto"/>
                <w:kern w:val="0"/>
                <w:szCs w:val="24"/>
                <w:lang w:bidi="ar"/>
              </w:rPr>
              <w:t>3.2声环境保护目标调查</w:t>
            </w:r>
          </w:p>
          <w:p w14:paraId="33B16A07">
            <w:pPr>
              <w:adjustRightInd w:val="0"/>
              <w:snapToGrid w:val="0"/>
              <w:ind w:firstLine="480"/>
              <w:rPr>
                <w:color w:val="auto"/>
                <w:szCs w:val="24"/>
              </w:rPr>
            </w:pPr>
            <w:r>
              <w:rPr>
                <w:color w:val="auto"/>
                <w:szCs w:val="24"/>
              </w:rPr>
              <w:t>本项目厂界50m范围内没有声环境保护目标。</w:t>
            </w:r>
          </w:p>
          <w:p w14:paraId="383D671C">
            <w:pPr>
              <w:adjustRightInd w:val="0"/>
              <w:snapToGrid w:val="0"/>
              <w:ind w:firstLine="482"/>
              <w:rPr>
                <w:b/>
                <w:bCs/>
                <w:color w:val="auto"/>
                <w:szCs w:val="24"/>
              </w:rPr>
            </w:pPr>
            <w:r>
              <w:rPr>
                <w:b/>
                <w:bCs/>
                <w:color w:val="auto"/>
                <w:szCs w:val="24"/>
              </w:rPr>
              <w:t>3.3噪声预测结果</w:t>
            </w:r>
          </w:p>
          <w:p w14:paraId="29C017B2">
            <w:pPr>
              <w:pStyle w:val="13"/>
              <w:adjustRightInd w:val="0"/>
              <w:snapToGrid w:val="0"/>
              <w:spacing w:before="156" w:beforeLines="50" w:after="0"/>
              <w:ind w:left="0" w:leftChars="0" w:right="0" w:rightChars="0" w:firstLine="480"/>
              <w:rPr>
                <w:color w:val="auto"/>
                <w:szCs w:val="24"/>
              </w:rPr>
            </w:pPr>
            <w:r>
              <w:rPr>
                <w:color w:val="auto"/>
                <w:szCs w:val="24"/>
              </w:rPr>
              <w:t>根据上表，本项目建成后，厂界噪声预测值可达到《工业企业厂界环境噪声排放标准》（GB12348-2008）3类标准限值，对厂界噪声影响较小。</w:t>
            </w:r>
          </w:p>
          <w:p w14:paraId="4959C88D">
            <w:pPr>
              <w:pStyle w:val="13"/>
              <w:adjustRightInd w:val="0"/>
              <w:snapToGrid w:val="0"/>
              <w:spacing w:after="0"/>
              <w:ind w:left="0" w:leftChars="0" w:right="0" w:rightChars="0" w:firstLine="482"/>
              <w:rPr>
                <w:b/>
                <w:bCs/>
                <w:color w:val="auto"/>
                <w:szCs w:val="24"/>
              </w:rPr>
            </w:pPr>
            <w:r>
              <w:rPr>
                <w:b/>
                <w:bCs/>
                <w:color w:val="auto"/>
                <w:szCs w:val="24"/>
              </w:rPr>
              <w:t>3.4噪声防治措施及投资表</w:t>
            </w:r>
          </w:p>
          <w:p w14:paraId="146FAE9B">
            <w:pPr>
              <w:pStyle w:val="13"/>
              <w:adjustRightInd w:val="0"/>
              <w:snapToGrid w:val="0"/>
              <w:spacing w:after="0"/>
              <w:ind w:left="0" w:leftChars="0" w:right="0" w:rightChars="0" w:firstLine="480"/>
              <w:rPr>
                <w:color w:val="auto"/>
                <w:szCs w:val="24"/>
              </w:rPr>
            </w:pPr>
            <w:r>
              <w:rPr>
                <w:color w:val="auto"/>
                <w:szCs w:val="24"/>
              </w:rPr>
              <w:t>为减轻噪声影响，公司采取隔声降噪措施，具体噪声防治措施及投资情况详见表4-</w:t>
            </w:r>
            <w:r>
              <w:rPr>
                <w:rFonts w:hint="eastAsia"/>
                <w:color w:val="auto"/>
                <w:szCs w:val="24"/>
                <w:lang w:val="en-US" w:eastAsia="zh-CN"/>
              </w:rPr>
              <w:t>20</w:t>
            </w:r>
            <w:r>
              <w:rPr>
                <w:color w:val="auto"/>
                <w:szCs w:val="24"/>
              </w:rPr>
              <w:t>。</w:t>
            </w:r>
          </w:p>
          <w:p w14:paraId="722A8860">
            <w:pPr>
              <w:ind w:firstLine="482"/>
              <w:rPr>
                <w:color w:val="auto"/>
                <w:szCs w:val="24"/>
              </w:rPr>
            </w:pPr>
            <w:r>
              <w:rPr>
                <w:b/>
                <w:bCs/>
                <w:color w:val="auto"/>
                <w:szCs w:val="24"/>
              </w:rPr>
              <w:t>3.4噪声监测计划</w:t>
            </w:r>
          </w:p>
          <w:p w14:paraId="6D388911">
            <w:pPr>
              <w:adjustRightInd w:val="0"/>
              <w:snapToGrid w:val="0"/>
              <w:ind w:firstLine="482"/>
              <w:rPr>
                <w:color w:val="auto"/>
                <w:szCs w:val="24"/>
              </w:rPr>
            </w:pPr>
            <w:r>
              <w:rPr>
                <w:color w:val="auto"/>
                <w:szCs w:val="24"/>
              </w:rPr>
              <w:t>根据《排污单位自行监测技术指南 总则》（HJ 819-2017）、《排污单位自行监测技术指南 橡胶和塑料制品》（HJ 1207-2021）</w:t>
            </w:r>
            <w:r>
              <w:rPr>
                <w:rFonts w:hint="eastAsia"/>
                <w:color w:val="auto"/>
                <w:szCs w:val="24"/>
              </w:rPr>
              <w:t>、</w:t>
            </w:r>
            <w:r>
              <w:rPr>
                <w:color w:val="auto"/>
                <w:szCs w:val="24"/>
              </w:rPr>
              <w:t>《排污许可证申请与核发技术规范 工业噪声》（HJ1301-2023）制定噪声监测计划，具体见表4-</w:t>
            </w:r>
            <w:r>
              <w:rPr>
                <w:rFonts w:hint="eastAsia"/>
                <w:color w:val="auto"/>
                <w:szCs w:val="24"/>
                <w:lang w:val="en-US" w:eastAsia="zh-CN"/>
              </w:rPr>
              <w:t>21</w:t>
            </w:r>
            <w:r>
              <w:rPr>
                <w:color w:val="auto"/>
                <w:szCs w:val="24"/>
              </w:rPr>
              <w:t>。</w:t>
            </w:r>
          </w:p>
          <w:p w14:paraId="1BF753F8">
            <w:pPr>
              <w:adjustRightInd w:val="0"/>
              <w:snapToGrid w:val="0"/>
              <w:ind w:firstLine="482"/>
              <w:rPr>
                <w:b/>
                <w:bCs/>
                <w:color w:val="auto"/>
                <w:szCs w:val="24"/>
              </w:rPr>
            </w:pPr>
            <w:r>
              <w:rPr>
                <w:b/>
                <w:bCs/>
                <w:color w:val="auto"/>
                <w:szCs w:val="24"/>
              </w:rPr>
              <w:t>4、固体废物</w:t>
            </w:r>
          </w:p>
          <w:p w14:paraId="7A5D1C18">
            <w:pPr>
              <w:adjustRightInd w:val="0"/>
              <w:snapToGrid w:val="0"/>
              <w:ind w:firstLine="480"/>
              <w:rPr>
                <w:color w:val="auto"/>
                <w:szCs w:val="24"/>
              </w:rPr>
            </w:pPr>
            <w:r>
              <w:rPr>
                <w:color w:val="auto"/>
                <w:szCs w:val="24"/>
              </w:rPr>
              <w:t>根据工程分析，本项目固体废物主要为冲孔、分切、成型工序产生的边角料（S</w:t>
            </w:r>
            <w:r>
              <w:rPr>
                <w:color w:val="auto"/>
                <w:szCs w:val="24"/>
                <w:vertAlign w:val="subscript"/>
              </w:rPr>
              <w:t>1-1</w:t>
            </w:r>
            <w:r>
              <w:rPr>
                <w:color w:val="auto"/>
                <w:szCs w:val="24"/>
              </w:rPr>
              <w:t>、S</w:t>
            </w:r>
            <w:r>
              <w:rPr>
                <w:color w:val="auto"/>
                <w:szCs w:val="24"/>
                <w:vertAlign w:val="subscript"/>
              </w:rPr>
              <w:t>1-2</w:t>
            </w:r>
            <w:r>
              <w:rPr>
                <w:color w:val="auto"/>
                <w:szCs w:val="24"/>
              </w:rPr>
              <w:t>、S</w:t>
            </w:r>
            <w:r>
              <w:rPr>
                <w:color w:val="auto"/>
                <w:szCs w:val="24"/>
                <w:vertAlign w:val="subscript"/>
              </w:rPr>
              <w:t>2-1</w:t>
            </w:r>
            <w:r>
              <w:rPr>
                <w:color w:val="auto"/>
                <w:szCs w:val="24"/>
              </w:rPr>
              <w:t>）</w:t>
            </w:r>
            <w:r>
              <w:rPr>
                <w:rFonts w:hint="eastAsia"/>
                <w:color w:val="auto"/>
                <w:szCs w:val="24"/>
              </w:rPr>
              <w:t>；</w:t>
            </w:r>
            <w:r>
              <w:rPr>
                <w:color w:val="auto"/>
                <w:szCs w:val="24"/>
              </w:rPr>
              <w:t>检验工序产生的不合格品（S</w:t>
            </w:r>
            <w:r>
              <w:rPr>
                <w:color w:val="auto"/>
                <w:szCs w:val="24"/>
                <w:vertAlign w:val="subscript"/>
              </w:rPr>
              <w:t>1-3</w:t>
            </w:r>
            <w:r>
              <w:rPr>
                <w:color w:val="auto"/>
                <w:szCs w:val="24"/>
              </w:rPr>
              <w:t>、S</w:t>
            </w:r>
            <w:r>
              <w:rPr>
                <w:color w:val="auto"/>
                <w:szCs w:val="24"/>
                <w:vertAlign w:val="subscript"/>
              </w:rPr>
              <w:t>2-2</w:t>
            </w:r>
            <w:r>
              <w:rPr>
                <w:color w:val="auto"/>
                <w:szCs w:val="24"/>
              </w:rPr>
              <w:t>、S</w:t>
            </w:r>
            <w:r>
              <w:rPr>
                <w:color w:val="auto"/>
                <w:szCs w:val="24"/>
                <w:vertAlign w:val="subscript"/>
              </w:rPr>
              <w:t>3-2</w:t>
            </w:r>
            <w:r>
              <w:rPr>
                <w:color w:val="auto"/>
                <w:szCs w:val="24"/>
              </w:rPr>
              <w:t>）</w:t>
            </w:r>
            <w:r>
              <w:rPr>
                <w:rFonts w:hint="eastAsia"/>
                <w:color w:val="auto"/>
                <w:szCs w:val="24"/>
              </w:rPr>
              <w:t>；</w:t>
            </w:r>
            <w:r>
              <w:rPr>
                <w:color w:val="auto"/>
                <w:szCs w:val="24"/>
              </w:rPr>
              <w:t>原料使用的废包装袋（S</w:t>
            </w:r>
            <w:r>
              <w:rPr>
                <w:color w:val="auto"/>
                <w:szCs w:val="24"/>
                <w:vertAlign w:val="subscript"/>
              </w:rPr>
              <w:t>5</w:t>
            </w:r>
            <w:r>
              <w:rPr>
                <w:color w:val="auto"/>
                <w:szCs w:val="24"/>
              </w:rPr>
              <w:t>）</w:t>
            </w:r>
            <w:r>
              <w:rPr>
                <w:rFonts w:hint="eastAsia"/>
                <w:color w:val="auto"/>
                <w:szCs w:val="24"/>
              </w:rPr>
              <w:t>；</w:t>
            </w:r>
            <w:r>
              <w:rPr>
                <w:color w:val="auto"/>
                <w:szCs w:val="24"/>
              </w:rPr>
              <w:t>废气处理装置中的废活性炭（S</w:t>
            </w:r>
            <w:r>
              <w:rPr>
                <w:color w:val="auto"/>
                <w:szCs w:val="24"/>
                <w:vertAlign w:val="subscript"/>
              </w:rPr>
              <w:t>6</w:t>
            </w:r>
            <w:r>
              <w:rPr>
                <w:color w:val="auto"/>
                <w:szCs w:val="24"/>
              </w:rPr>
              <w:t>）</w:t>
            </w:r>
            <w:r>
              <w:rPr>
                <w:rFonts w:hint="eastAsia"/>
                <w:color w:val="auto"/>
                <w:szCs w:val="24"/>
              </w:rPr>
              <w:t>；</w:t>
            </w:r>
            <w:r>
              <w:rPr>
                <w:color w:val="auto"/>
                <w:szCs w:val="24"/>
              </w:rPr>
              <w:t>设备保养产生的废机油（S</w:t>
            </w:r>
            <w:r>
              <w:rPr>
                <w:rFonts w:hint="eastAsia"/>
                <w:color w:val="auto"/>
                <w:szCs w:val="24"/>
                <w:vertAlign w:val="subscript"/>
                <w:lang w:val="en-US" w:eastAsia="zh-CN"/>
              </w:rPr>
              <w:t>7</w:t>
            </w:r>
            <w:r>
              <w:rPr>
                <w:color w:val="auto"/>
                <w:szCs w:val="24"/>
              </w:rPr>
              <w:t>）、废机油桶（S</w:t>
            </w:r>
            <w:r>
              <w:rPr>
                <w:rFonts w:hint="eastAsia"/>
                <w:color w:val="auto"/>
                <w:szCs w:val="24"/>
                <w:vertAlign w:val="subscript"/>
                <w:lang w:val="en-US" w:eastAsia="zh-CN"/>
              </w:rPr>
              <w:t>8</w:t>
            </w:r>
            <w:r>
              <w:rPr>
                <w:color w:val="auto"/>
                <w:szCs w:val="24"/>
              </w:rPr>
              <w:t>）以及员工生活垃圾（S</w:t>
            </w:r>
            <w:r>
              <w:rPr>
                <w:rFonts w:hint="eastAsia"/>
                <w:color w:val="auto"/>
                <w:szCs w:val="24"/>
                <w:vertAlign w:val="subscript"/>
                <w:lang w:val="en-US" w:eastAsia="zh-CN"/>
              </w:rPr>
              <w:t>9</w:t>
            </w:r>
            <w:r>
              <w:rPr>
                <w:color w:val="auto"/>
                <w:szCs w:val="24"/>
              </w:rPr>
              <w:t>）。</w:t>
            </w:r>
          </w:p>
          <w:p w14:paraId="610BBE1A">
            <w:pPr>
              <w:pStyle w:val="20"/>
              <w:adjustRightInd w:val="0"/>
              <w:snapToGrid w:val="0"/>
              <w:spacing w:line="360" w:lineRule="auto"/>
              <w:rPr>
                <w:rFonts w:ascii="Times New Roman" w:hAnsi="Times New Roman"/>
                <w:color w:val="auto"/>
                <w:szCs w:val="24"/>
              </w:rPr>
            </w:pPr>
            <w:r>
              <w:rPr>
                <w:rFonts w:ascii="Times New Roman" w:hAnsi="Times New Roman"/>
                <w:color w:val="auto"/>
                <w:szCs w:val="24"/>
              </w:rPr>
              <w:t>（1）边角料：本项目冲孔、分切、成型工序会产生边角料，根据物料平衡，边角料产生量约</w:t>
            </w:r>
            <w:r>
              <w:rPr>
                <w:rFonts w:hint="eastAsia" w:ascii="Times New Roman" w:hAnsi="Times New Roman"/>
                <w:color w:val="auto"/>
                <w:szCs w:val="24"/>
                <w:lang w:eastAsia="zh-CN"/>
              </w:rPr>
              <w:t>61.3971</w:t>
            </w:r>
            <w:r>
              <w:rPr>
                <w:rFonts w:ascii="Times New Roman" w:hAnsi="Times New Roman"/>
                <w:color w:val="auto"/>
                <w:szCs w:val="24"/>
              </w:rPr>
              <w:t>t；</w:t>
            </w:r>
          </w:p>
          <w:p w14:paraId="1A88CF2D">
            <w:pPr>
              <w:pStyle w:val="20"/>
              <w:adjustRightInd w:val="0"/>
              <w:snapToGrid w:val="0"/>
              <w:spacing w:line="360" w:lineRule="auto"/>
              <w:rPr>
                <w:rFonts w:ascii="Times New Roman" w:hAnsi="Times New Roman"/>
                <w:color w:val="auto"/>
                <w:szCs w:val="24"/>
              </w:rPr>
            </w:pPr>
            <w:r>
              <w:rPr>
                <w:rFonts w:ascii="Times New Roman" w:hAnsi="Times New Roman"/>
                <w:color w:val="auto"/>
                <w:szCs w:val="24"/>
              </w:rPr>
              <w:t>（2）不合格品：本项目检验工序会产生不合格品，根据物料平衡，载带生产过程产生不合格品</w:t>
            </w:r>
            <w:r>
              <w:rPr>
                <w:rFonts w:hint="eastAsia" w:ascii="Times New Roman" w:hAnsi="Times New Roman"/>
                <w:color w:val="auto"/>
                <w:szCs w:val="24"/>
                <w:lang w:eastAsia="zh-CN"/>
              </w:rPr>
              <w:t>21.32</w:t>
            </w:r>
            <w:r>
              <w:rPr>
                <w:rFonts w:ascii="Times New Roman" w:hAnsi="Times New Roman"/>
                <w:color w:val="auto"/>
                <w:szCs w:val="24"/>
              </w:rPr>
              <w:t>，料盘生产过程产生不合格品</w:t>
            </w:r>
            <w:r>
              <w:rPr>
                <w:rFonts w:hint="eastAsia" w:ascii="Times New Roman" w:hAnsi="Times New Roman"/>
                <w:color w:val="auto"/>
                <w:szCs w:val="24"/>
              </w:rPr>
              <w:t>7.975</w:t>
            </w:r>
            <w:r>
              <w:rPr>
                <w:rFonts w:ascii="Times New Roman" w:hAnsi="Times New Roman"/>
                <w:color w:val="auto"/>
                <w:szCs w:val="24"/>
              </w:rPr>
              <w:t>t。载带生产环节产生的不合格品破碎后外售</w:t>
            </w:r>
            <w:r>
              <w:rPr>
                <w:rFonts w:hint="eastAsia" w:ascii="Times New Roman" w:hAnsi="Times New Roman"/>
                <w:color w:val="auto"/>
                <w:szCs w:val="24"/>
              </w:rPr>
              <w:t>；</w:t>
            </w:r>
            <w:r>
              <w:rPr>
                <w:rFonts w:ascii="Times New Roman" w:hAnsi="Times New Roman"/>
                <w:color w:val="auto"/>
                <w:szCs w:val="24"/>
              </w:rPr>
              <w:t>料盘生产过程产生的不合格品破碎后用于生产；</w:t>
            </w:r>
          </w:p>
          <w:p w14:paraId="0D80C220">
            <w:pPr>
              <w:pStyle w:val="20"/>
              <w:adjustRightInd w:val="0"/>
              <w:snapToGrid w:val="0"/>
              <w:spacing w:line="360" w:lineRule="auto"/>
              <w:rPr>
                <w:rFonts w:ascii="Times New Roman" w:hAnsi="Times New Roman"/>
                <w:color w:val="auto"/>
                <w:szCs w:val="24"/>
              </w:rPr>
            </w:pPr>
            <w:r>
              <w:rPr>
                <w:rFonts w:ascii="Times New Roman" w:hAnsi="Times New Roman"/>
                <w:color w:val="auto"/>
                <w:szCs w:val="24"/>
              </w:rPr>
              <w:t>（3）废包装袋：企业提供的资料，袋装原料用量为960t/a，均为袋装，25kg/袋，每个包装袋约为0.05kg，废原料包装产生量约为1.92t/a；</w:t>
            </w:r>
          </w:p>
          <w:p w14:paraId="6ADBC432">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废活性炭：来源于废气处理阶段，建设后全厂需处理废气量为0.6498t/a，企业采用二级活性炭吸附装置对废气进行处理，有机废气最终排放量为0.1529t/a，则活性炭吸附装置处理废气量约为0.4969t/a。项目配套的二级活性炭吸附装置削减的非甲烷总烃浓度为</w:t>
            </w:r>
            <w:r>
              <w:rPr>
                <w:rFonts w:ascii="Times New Roman" w:hAnsi="Times New Roman" w:eastAsia="宋体" w:cs="Times New Roman"/>
                <w:color w:val="auto"/>
                <w:kern w:val="2"/>
                <w:sz w:val="24"/>
                <w:szCs w:val="21"/>
                <w:lang w:val="en-US" w:eastAsia="zh-CN" w:bidi="ar-SA"/>
              </w:rPr>
              <w:t>8.</w:t>
            </w:r>
            <w:r>
              <w:rPr>
                <w:rFonts w:hint="eastAsia" w:ascii="Times New Roman" w:hAnsi="Times New Roman" w:eastAsia="宋体" w:cs="Times New Roman"/>
                <w:color w:val="auto"/>
                <w:kern w:val="2"/>
                <w:sz w:val="24"/>
                <w:szCs w:val="21"/>
                <w:lang w:val="en-US" w:eastAsia="zh-CN" w:bidi="ar-SA"/>
              </w:rPr>
              <w:t>2949</w:t>
            </w:r>
            <w:r>
              <w:rPr>
                <w:rFonts w:hint="eastAsia" w:ascii="Times New Roman" w:hAnsi="Times New Roman" w:eastAsia="宋体" w:cs="Times New Roman"/>
                <w:color w:val="auto"/>
                <w:kern w:val="2"/>
                <w:sz w:val="24"/>
                <w:szCs w:val="24"/>
                <w:lang w:val="en-US" w:eastAsia="zh-CN" w:bidi="ar-SA"/>
              </w:rPr>
              <w:t>mg/m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，活性炭一次装填量为1.5t，风量8000m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/h，运行时间24h/d。根据《省生态环境厅关于将排污单位活性炭使用更换纳入排污许可管理的通知》（2021年7月19日）中内容，更换周期：</w:t>
            </w:r>
          </w:p>
          <w:p w14:paraId="14ACFF0E">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T=m×s÷（c×10</w:t>
            </w:r>
            <w:r>
              <w:rPr>
                <w:rFonts w:hint="eastAsia" w:ascii="Times New Roman" w:hAnsi="Times New Roman" w:eastAsia="宋体" w:cs="Times New Roman"/>
                <w:color w:val="auto"/>
                <w:kern w:val="2"/>
                <w:sz w:val="24"/>
                <w:szCs w:val="24"/>
                <w:vertAlign w:val="superscript"/>
                <w:lang w:val="en-US" w:eastAsia="zh-CN" w:bidi="ar-SA"/>
              </w:rPr>
              <w:t>-6</w:t>
            </w:r>
            <w:r>
              <w:rPr>
                <w:rFonts w:hint="eastAsia" w:ascii="Times New Roman" w:hAnsi="Times New Roman" w:eastAsia="宋体" w:cs="Times New Roman"/>
                <w:color w:val="auto"/>
                <w:kern w:val="2"/>
                <w:sz w:val="24"/>
                <w:szCs w:val="24"/>
                <w:lang w:val="en-US" w:eastAsia="zh-CN" w:bidi="ar-SA"/>
              </w:rPr>
              <w:t>×Q×t）</w:t>
            </w:r>
          </w:p>
          <w:p w14:paraId="055B4369">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式中：T—更换周期，天；</w:t>
            </w:r>
          </w:p>
          <w:p w14:paraId="7FAA740B">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m—活性炭的用量，kg；</w:t>
            </w:r>
          </w:p>
          <w:p w14:paraId="08AC0EC7">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s—动态吸附量，%；（一般取值10%）</w:t>
            </w:r>
          </w:p>
          <w:p w14:paraId="792B4A60">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c—活性炭削减的VOCs浓度，mg/m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w:t>
            </w:r>
          </w:p>
          <w:p w14:paraId="51386A5E">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Q—风量，单位m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/h；</w:t>
            </w:r>
          </w:p>
          <w:p w14:paraId="251E5B89">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t—运行时间，单位h/d。</w:t>
            </w:r>
          </w:p>
          <w:p w14:paraId="1DF5E2EF">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本项目活性炭吸附装置的活性炭更换周期计算结果如下表所示：</w:t>
            </w:r>
          </w:p>
          <w:p w14:paraId="570481CB">
            <w:pPr>
              <w:widowControl w:val="0"/>
              <w:adjustRightInd w:val="0"/>
              <w:snapToGrid w:val="0"/>
              <w:spacing w:line="360" w:lineRule="auto"/>
              <w:ind w:firstLine="0" w:firstLineChars="0"/>
              <w:jc w:val="center"/>
              <w:rPr>
                <w:rFonts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表4-24 活性炭更换周期计算结果</w:t>
            </w:r>
          </w:p>
          <w:tbl>
            <w:tblPr>
              <w:tblStyle w:val="29"/>
              <w:tblW w:w="76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97"/>
              <w:gridCol w:w="682"/>
              <w:gridCol w:w="647"/>
              <w:gridCol w:w="809"/>
              <w:gridCol w:w="764"/>
              <w:gridCol w:w="544"/>
              <w:gridCol w:w="451"/>
              <w:gridCol w:w="994"/>
              <w:gridCol w:w="833"/>
              <w:gridCol w:w="917"/>
            </w:tblGrid>
            <w:tr w14:paraId="626C8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7" w:type="dxa"/>
                  <w:tcBorders>
                    <w:tl2br w:val="nil"/>
                    <w:tr2bl w:val="nil"/>
                  </w:tcBorders>
                  <w:noWrap/>
                  <w:vAlign w:val="center"/>
                </w:tcPr>
                <w:p w14:paraId="1722895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对应的排气筒</w:t>
                  </w:r>
                </w:p>
              </w:tc>
              <w:tc>
                <w:tcPr>
                  <w:tcW w:w="682" w:type="dxa"/>
                  <w:tcBorders>
                    <w:tl2br w:val="nil"/>
                    <w:tr2bl w:val="nil"/>
                  </w:tcBorders>
                  <w:noWrap/>
                  <w:vAlign w:val="center"/>
                </w:tcPr>
                <w:p w14:paraId="0F4976F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m</w:t>
                  </w:r>
                </w:p>
              </w:tc>
              <w:tc>
                <w:tcPr>
                  <w:tcW w:w="647" w:type="dxa"/>
                  <w:tcBorders>
                    <w:tl2br w:val="nil"/>
                    <w:tr2bl w:val="nil"/>
                  </w:tcBorders>
                  <w:noWrap/>
                  <w:vAlign w:val="center"/>
                </w:tcPr>
                <w:p w14:paraId="0F01FBB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s</w:t>
                  </w:r>
                </w:p>
              </w:tc>
              <w:tc>
                <w:tcPr>
                  <w:tcW w:w="809" w:type="dxa"/>
                  <w:tcBorders>
                    <w:tl2br w:val="nil"/>
                    <w:tr2bl w:val="nil"/>
                  </w:tcBorders>
                  <w:noWrap/>
                  <w:vAlign w:val="center"/>
                </w:tcPr>
                <w:p w14:paraId="6ABD0FC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c</w:t>
                  </w:r>
                </w:p>
              </w:tc>
              <w:tc>
                <w:tcPr>
                  <w:tcW w:w="764" w:type="dxa"/>
                  <w:tcBorders>
                    <w:tl2br w:val="nil"/>
                    <w:tr2bl w:val="nil"/>
                  </w:tcBorders>
                  <w:noWrap/>
                  <w:vAlign w:val="center"/>
                </w:tcPr>
                <w:p w14:paraId="74D0179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Q</w:t>
                  </w:r>
                </w:p>
              </w:tc>
              <w:tc>
                <w:tcPr>
                  <w:tcW w:w="544" w:type="dxa"/>
                  <w:tcBorders>
                    <w:tl2br w:val="nil"/>
                    <w:tr2bl w:val="nil"/>
                  </w:tcBorders>
                  <w:noWrap/>
                  <w:vAlign w:val="center"/>
                </w:tcPr>
                <w:p w14:paraId="219A19C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t</w:t>
                  </w:r>
                </w:p>
              </w:tc>
              <w:tc>
                <w:tcPr>
                  <w:tcW w:w="451" w:type="dxa"/>
                  <w:tcBorders>
                    <w:tl2br w:val="nil"/>
                    <w:tr2bl w:val="nil"/>
                  </w:tcBorders>
                  <w:noWrap/>
                  <w:vAlign w:val="center"/>
                </w:tcPr>
                <w:p w14:paraId="23125CE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T</w:t>
                  </w:r>
                </w:p>
              </w:tc>
              <w:tc>
                <w:tcPr>
                  <w:tcW w:w="994" w:type="dxa"/>
                  <w:tcBorders>
                    <w:tl2br w:val="nil"/>
                    <w:tr2bl w:val="nil"/>
                  </w:tcBorders>
                  <w:noWrap/>
                  <w:vAlign w:val="center"/>
                </w:tcPr>
                <w:p w14:paraId="4A464147">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更换活性炭量</w:t>
                  </w:r>
                </w:p>
              </w:tc>
              <w:tc>
                <w:tcPr>
                  <w:tcW w:w="833" w:type="dxa"/>
                  <w:tcBorders>
                    <w:tl2br w:val="nil"/>
                    <w:tr2bl w:val="nil"/>
                  </w:tcBorders>
                  <w:noWrap/>
                  <w:vAlign w:val="center"/>
                </w:tcPr>
                <w:p w14:paraId="1CDE2F6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收集的废气量</w:t>
                  </w:r>
                </w:p>
              </w:tc>
              <w:tc>
                <w:tcPr>
                  <w:tcW w:w="917" w:type="dxa"/>
                  <w:tcBorders>
                    <w:tl2br w:val="nil"/>
                    <w:tr2bl w:val="nil"/>
                  </w:tcBorders>
                  <w:noWrap/>
                  <w:vAlign w:val="center"/>
                </w:tcPr>
                <w:p w14:paraId="529B2E6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废活性炭量</w:t>
                  </w:r>
                </w:p>
              </w:tc>
            </w:tr>
            <w:tr w14:paraId="091DC6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7" w:type="dxa"/>
                  <w:tcBorders>
                    <w:tl2br w:val="nil"/>
                    <w:tr2bl w:val="nil"/>
                  </w:tcBorders>
                  <w:noWrap/>
                  <w:vAlign w:val="center"/>
                </w:tcPr>
                <w:p w14:paraId="3D8B70EE">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单位</w:t>
                  </w:r>
                </w:p>
              </w:tc>
              <w:tc>
                <w:tcPr>
                  <w:tcW w:w="682" w:type="dxa"/>
                  <w:tcBorders>
                    <w:tl2br w:val="nil"/>
                    <w:tr2bl w:val="nil"/>
                  </w:tcBorders>
                  <w:noWrap/>
                  <w:vAlign w:val="center"/>
                </w:tcPr>
                <w:p w14:paraId="0E552726">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Kg</w:t>
                  </w:r>
                </w:p>
              </w:tc>
              <w:tc>
                <w:tcPr>
                  <w:tcW w:w="647" w:type="dxa"/>
                  <w:tcBorders>
                    <w:tl2br w:val="nil"/>
                    <w:tr2bl w:val="nil"/>
                  </w:tcBorders>
                  <w:noWrap/>
                  <w:vAlign w:val="center"/>
                </w:tcPr>
                <w:p w14:paraId="243E78C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809" w:type="dxa"/>
                  <w:tcBorders>
                    <w:tl2br w:val="nil"/>
                    <w:tr2bl w:val="nil"/>
                  </w:tcBorders>
                  <w:noWrap/>
                  <w:vAlign w:val="center"/>
                </w:tcPr>
                <w:p w14:paraId="166A0065">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mg/m</w:t>
                  </w:r>
                  <w:r>
                    <w:rPr>
                      <w:rFonts w:hint="eastAsia" w:ascii="Times New Roman" w:hAnsi="Times New Roman" w:eastAsia="宋体" w:cs="Times New Roman"/>
                      <w:color w:val="auto"/>
                      <w:kern w:val="2"/>
                      <w:sz w:val="21"/>
                      <w:szCs w:val="21"/>
                      <w:vertAlign w:val="superscript"/>
                      <w:lang w:val="en-US" w:eastAsia="zh-CN" w:bidi="ar-SA"/>
                    </w:rPr>
                    <w:t>3</w:t>
                  </w:r>
                </w:p>
              </w:tc>
              <w:tc>
                <w:tcPr>
                  <w:tcW w:w="764" w:type="dxa"/>
                  <w:tcBorders>
                    <w:tl2br w:val="nil"/>
                    <w:tr2bl w:val="nil"/>
                  </w:tcBorders>
                  <w:noWrap/>
                  <w:vAlign w:val="center"/>
                </w:tcPr>
                <w:p w14:paraId="567E377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r>
                    <w:rPr>
                      <w:rFonts w:hint="eastAsia" w:ascii="Times New Roman" w:hAnsi="Times New Roman" w:eastAsia="宋体" w:cs="Times New Roman"/>
                      <w:color w:val="auto"/>
                      <w:kern w:val="2"/>
                      <w:sz w:val="21"/>
                      <w:szCs w:val="21"/>
                      <w:lang w:val="en-US" w:eastAsia="zh-CN" w:bidi="ar-SA"/>
                    </w:rPr>
                    <w:t>/h</w:t>
                  </w:r>
                </w:p>
              </w:tc>
              <w:tc>
                <w:tcPr>
                  <w:tcW w:w="544" w:type="dxa"/>
                  <w:tcBorders>
                    <w:tl2br w:val="nil"/>
                    <w:tr2bl w:val="nil"/>
                  </w:tcBorders>
                  <w:noWrap/>
                  <w:vAlign w:val="center"/>
                </w:tcPr>
                <w:p w14:paraId="68B0709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h/d</w:t>
                  </w:r>
                </w:p>
              </w:tc>
              <w:tc>
                <w:tcPr>
                  <w:tcW w:w="451" w:type="dxa"/>
                  <w:tcBorders>
                    <w:tl2br w:val="nil"/>
                    <w:tr2bl w:val="nil"/>
                  </w:tcBorders>
                  <w:noWrap/>
                  <w:vAlign w:val="center"/>
                </w:tcPr>
                <w:p w14:paraId="7F3E1779">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d</w:t>
                  </w:r>
                </w:p>
              </w:tc>
              <w:tc>
                <w:tcPr>
                  <w:tcW w:w="994" w:type="dxa"/>
                  <w:tcBorders>
                    <w:tl2br w:val="nil"/>
                    <w:tr2bl w:val="nil"/>
                  </w:tcBorders>
                  <w:noWrap/>
                  <w:vAlign w:val="center"/>
                </w:tcPr>
                <w:p w14:paraId="53BFA29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t/a</w:t>
                  </w:r>
                </w:p>
              </w:tc>
              <w:tc>
                <w:tcPr>
                  <w:tcW w:w="833" w:type="dxa"/>
                  <w:tcBorders>
                    <w:tl2br w:val="nil"/>
                    <w:tr2bl w:val="nil"/>
                  </w:tcBorders>
                  <w:noWrap/>
                  <w:vAlign w:val="center"/>
                </w:tcPr>
                <w:p w14:paraId="720119FD">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t/a</w:t>
                  </w:r>
                </w:p>
              </w:tc>
              <w:tc>
                <w:tcPr>
                  <w:tcW w:w="917" w:type="dxa"/>
                  <w:tcBorders>
                    <w:tl2br w:val="nil"/>
                    <w:tr2bl w:val="nil"/>
                  </w:tcBorders>
                  <w:noWrap/>
                  <w:vAlign w:val="center"/>
                </w:tcPr>
                <w:p w14:paraId="02A098B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t/a</w:t>
                  </w:r>
                </w:p>
              </w:tc>
            </w:tr>
            <w:tr w14:paraId="3B79B8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7" w:type="dxa"/>
                  <w:tcBorders>
                    <w:tl2br w:val="nil"/>
                    <w:tr2bl w:val="nil"/>
                  </w:tcBorders>
                  <w:noWrap/>
                  <w:vAlign w:val="center"/>
                </w:tcPr>
                <w:p w14:paraId="40D27401">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DA001排气筒</w:t>
                  </w:r>
                </w:p>
              </w:tc>
              <w:tc>
                <w:tcPr>
                  <w:tcW w:w="682" w:type="dxa"/>
                  <w:tcBorders>
                    <w:tl2br w:val="nil"/>
                    <w:tr2bl w:val="nil"/>
                  </w:tcBorders>
                  <w:noWrap/>
                  <w:vAlign w:val="center"/>
                </w:tcPr>
                <w:p w14:paraId="322AA517">
                  <w:pPr>
                    <w:widowControl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1500</w:t>
                  </w:r>
                </w:p>
              </w:tc>
              <w:tc>
                <w:tcPr>
                  <w:tcW w:w="647" w:type="dxa"/>
                  <w:tcBorders>
                    <w:tl2br w:val="nil"/>
                    <w:tr2bl w:val="nil"/>
                  </w:tcBorders>
                  <w:noWrap/>
                  <w:vAlign w:val="center"/>
                </w:tcPr>
                <w:p w14:paraId="334C9918">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809" w:type="dxa"/>
                  <w:tcBorders>
                    <w:tl2br w:val="nil"/>
                    <w:tr2bl w:val="nil"/>
                  </w:tcBorders>
                  <w:noWrap/>
                  <w:vAlign w:val="center"/>
                </w:tcPr>
                <w:p w14:paraId="424724E2">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8.2949</w:t>
                  </w:r>
                </w:p>
              </w:tc>
              <w:tc>
                <w:tcPr>
                  <w:tcW w:w="764" w:type="dxa"/>
                  <w:tcBorders>
                    <w:tl2br w:val="nil"/>
                    <w:tr2bl w:val="nil"/>
                  </w:tcBorders>
                  <w:noWrap/>
                  <w:vAlign w:val="center"/>
                </w:tcPr>
                <w:p w14:paraId="492A9BB1">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8000</w:t>
                  </w:r>
                </w:p>
              </w:tc>
              <w:tc>
                <w:tcPr>
                  <w:tcW w:w="544" w:type="dxa"/>
                  <w:tcBorders>
                    <w:tl2br w:val="nil"/>
                    <w:tr2bl w:val="nil"/>
                  </w:tcBorders>
                  <w:noWrap/>
                  <w:vAlign w:val="center"/>
                </w:tcPr>
                <w:p w14:paraId="2807DADC">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w:t>
                  </w:r>
                </w:p>
              </w:tc>
              <w:tc>
                <w:tcPr>
                  <w:tcW w:w="451" w:type="dxa"/>
                  <w:tcBorders>
                    <w:tl2br w:val="nil"/>
                    <w:tr2bl w:val="nil"/>
                  </w:tcBorders>
                  <w:noWrap/>
                  <w:vAlign w:val="center"/>
                </w:tcPr>
                <w:p w14:paraId="0D26424D">
                  <w:pPr>
                    <w:widowControl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94</w:t>
                  </w:r>
                </w:p>
              </w:tc>
              <w:tc>
                <w:tcPr>
                  <w:tcW w:w="994" w:type="dxa"/>
                  <w:tcBorders>
                    <w:tl2br w:val="nil"/>
                    <w:tr2bl w:val="nil"/>
                  </w:tcBorders>
                  <w:noWrap/>
                  <w:vAlign w:val="center"/>
                </w:tcPr>
                <w:p w14:paraId="5B4AC310">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p>
              </w:tc>
              <w:tc>
                <w:tcPr>
                  <w:tcW w:w="833" w:type="dxa"/>
                  <w:tcBorders>
                    <w:tl2br w:val="nil"/>
                    <w:tr2bl w:val="nil"/>
                  </w:tcBorders>
                  <w:noWrap/>
                  <w:vAlign w:val="center"/>
                </w:tcPr>
                <w:p w14:paraId="236E771D">
                  <w:pPr>
                    <w:widowControl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0.4969</w:t>
                  </w:r>
                </w:p>
              </w:tc>
              <w:tc>
                <w:tcPr>
                  <w:tcW w:w="917" w:type="dxa"/>
                  <w:tcBorders>
                    <w:tl2br w:val="nil"/>
                    <w:tr2bl w:val="nil"/>
                  </w:tcBorders>
                  <w:noWrap/>
                  <w:vAlign w:val="center"/>
                </w:tcPr>
                <w:p w14:paraId="5D24A133">
                  <w:pPr>
                    <w:widowControl w:val="0"/>
                    <w:snapToGrid w:val="0"/>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6.4969</w:t>
                  </w:r>
                </w:p>
              </w:tc>
            </w:tr>
          </w:tbl>
          <w:p w14:paraId="30561A61">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由上式可知，建设后活性炭更换周期为94天，根据《省生态环境厅关于深入开展涉VOCs治理重点工作核查的通知》（苏环办[2022]218号）相关要求，活性炭更换周期一般不应超过累计运行500小时或3个月，因此本项目活性炭更换频次为3个月/次，一年更换4次，则活性炭用量约为6t/a，废活性炭产生量为6.4969t/a（含有机废气0.4969t）；</w:t>
            </w:r>
          </w:p>
          <w:p w14:paraId="19B866D1">
            <w:pPr>
              <w:pStyle w:val="20"/>
              <w:adjustRightInd w:val="0"/>
              <w:snapToGrid w:val="0"/>
              <w:spacing w:line="360" w:lineRule="auto"/>
              <w:rPr>
                <w:rFonts w:ascii="Times New Roman" w:hAnsi="Times New Roman"/>
                <w:color w:val="auto"/>
                <w:szCs w:val="24"/>
              </w:rPr>
            </w:pPr>
            <w:r>
              <w:rPr>
                <w:rFonts w:ascii="Times New Roman" w:hAnsi="Times New Roman"/>
                <w:color w:val="auto"/>
                <w:szCs w:val="24"/>
              </w:rPr>
              <w:t>（</w:t>
            </w:r>
            <w:r>
              <w:rPr>
                <w:rFonts w:hint="eastAsia" w:ascii="Times New Roman" w:hAnsi="Times New Roman"/>
                <w:color w:val="auto"/>
                <w:szCs w:val="24"/>
                <w:lang w:val="en-US" w:eastAsia="zh-CN"/>
              </w:rPr>
              <w:t>5</w:t>
            </w:r>
            <w:r>
              <w:rPr>
                <w:rFonts w:ascii="Times New Roman" w:hAnsi="Times New Roman"/>
                <w:color w:val="auto"/>
                <w:szCs w:val="24"/>
              </w:rPr>
              <w:t>）废机油：根据企业提供的资料，产生量约为0.05t/a，委托有资质单位处理。</w:t>
            </w:r>
          </w:p>
          <w:p w14:paraId="524D2250">
            <w:pPr>
              <w:widowControl/>
              <w:adjustRightInd w:val="0"/>
              <w:snapToGrid w:val="0"/>
              <w:ind w:firstLine="480"/>
              <w:jc w:val="left"/>
              <w:rPr>
                <w:color w:val="auto"/>
                <w:szCs w:val="24"/>
              </w:rPr>
            </w:pPr>
            <w:r>
              <w:rPr>
                <w:color w:val="auto"/>
                <w:szCs w:val="24"/>
              </w:rPr>
              <w:t>（</w:t>
            </w:r>
            <w:r>
              <w:rPr>
                <w:rFonts w:hint="eastAsia"/>
                <w:color w:val="auto"/>
                <w:szCs w:val="24"/>
                <w:lang w:val="en-US" w:eastAsia="zh-CN"/>
              </w:rPr>
              <w:t>6</w:t>
            </w:r>
            <w:r>
              <w:rPr>
                <w:color w:val="auto"/>
                <w:szCs w:val="24"/>
              </w:rPr>
              <w:t>）废机油桶：根据企业提供的资料，营运期设备维修产生的废机油产量约为0.05t/a，废机油桶的规格为25kg/桶，每个机油桶约为1.5kg，则废机油桶产生量为0.003t/a。</w:t>
            </w:r>
          </w:p>
          <w:p w14:paraId="742A2E5A">
            <w:pPr>
              <w:widowControl/>
              <w:adjustRightInd w:val="0"/>
              <w:snapToGrid w:val="0"/>
              <w:ind w:firstLine="480"/>
              <w:jc w:val="left"/>
              <w:rPr>
                <w:color w:val="auto"/>
                <w:szCs w:val="24"/>
              </w:rPr>
            </w:pPr>
            <w:r>
              <w:rPr>
                <w:color w:val="auto"/>
                <w:szCs w:val="24"/>
              </w:rPr>
              <w:t>（</w:t>
            </w:r>
            <w:r>
              <w:rPr>
                <w:rFonts w:hint="eastAsia"/>
                <w:color w:val="auto"/>
                <w:szCs w:val="24"/>
                <w:lang w:val="en-US" w:eastAsia="zh-CN"/>
              </w:rPr>
              <w:t>7</w:t>
            </w:r>
            <w:r>
              <w:rPr>
                <w:color w:val="auto"/>
                <w:szCs w:val="24"/>
              </w:rPr>
              <w:t>）生活垃圾：员工办公生活产生。根据《第一次全国污染源普查 城镇生活源产排污系数手册》（2008年3月）的“第一部分城镇居民生活污水、生活垃圾”表1相关系数，本项目属于二区一类，生活垃圾产生量为0.68kg/人·天，本项目劳动定员40人，则生活垃圾产生量为8.16t/a，定期由环卫部门清运。</w:t>
            </w:r>
          </w:p>
          <w:p w14:paraId="114123FD">
            <w:pPr>
              <w:adjustRightInd w:val="0"/>
              <w:snapToGrid w:val="0"/>
              <w:ind w:firstLine="482"/>
              <w:rPr>
                <w:b/>
                <w:bCs/>
                <w:color w:val="auto"/>
                <w:szCs w:val="24"/>
              </w:rPr>
            </w:pPr>
            <w:r>
              <w:rPr>
                <w:b/>
                <w:bCs/>
                <w:color w:val="auto"/>
                <w:szCs w:val="24"/>
              </w:rPr>
              <w:t>4.1固废产生情况</w:t>
            </w:r>
          </w:p>
          <w:p w14:paraId="07C40453">
            <w:pPr>
              <w:pStyle w:val="13"/>
              <w:adjustRightInd w:val="0"/>
              <w:snapToGrid w:val="0"/>
              <w:spacing w:after="0"/>
              <w:ind w:left="0" w:leftChars="0" w:right="0" w:rightChars="0" w:firstLine="482"/>
              <w:rPr>
                <w:b/>
                <w:bCs/>
                <w:color w:val="auto"/>
                <w:szCs w:val="24"/>
              </w:rPr>
            </w:pPr>
            <w:r>
              <w:rPr>
                <w:b/>
                <w:bCs/>
                <w:color w:val="auto"/>
                <w:szCs w:val="24"/>
              </w:rPr>
              <w:t>4.2一般工业固体废物暂存污染防治措施及环境影响分析</w:t>
            </w:r>
          </w:p>
          <w:p w14:paraId="05E69FA6">
            <w:pPr>
              <w:pStyle w:val="44"/>
              <w:adjustRightInd w:val="0"/>
              <w:snapToGrid w:val="0"/>
              <w:ind w:firstLine="480"/>
              <w:rPr>
                <w:color w:val="auto"/>
                <w:szCs w:val="24"/>
              </w:rPr>
            </w:pPr>
            <w:r>
              <w:rPr>
                <w:color w:val="auto"/>
                <w:szCs w:val="24"/>
              </w:rPr>
              <w:t>本项目一般工业固废不存在室外、露天堆放情形，均采用适当的包装容器密封后车间内指定区域暂存。车间为密闭设计，仅开启门窗进行通风，地面进行了硬化处理，具备防腐、防渗和防漏能力，故本项目一般工业固体废物堆放满足相应防渗漏、防雨淋、防扬尘等环境保护要求。此外，企业制定了“一般固废仓库管理制度”、“一般工业固废处置管理规定”，由专人记录台账，各类一般工业固体废物分类收集贮存。因此本项目一般工业固废的收集、贮存对环境的影响较小。</w:t>
            </w:r>
          </w:p>
          <w:p w14:paraId="7B875F52">
            <w:pPr>
              <w:pStyle w:val="44"/>
              <w:adjustRightInd w:val="0"/>
              <w:snapToGrid w:val="0"/>
              <w:ind w:firstLine="482"/>
              <w:rPr>
                <w:b/>
                <w:bCs/>
                <w:color w:val="auto"/>
                <w:szCs w:val="24"/>
              </w:rPr>
            </w:pPr>
            <w:r>
              <w:rPr>
                <w:b/>
                <w:bCs/>
                <w:color w:val="auto"/>
                <w:szCs w:val="24"/>
              </w:rPr>
              <w:t>4.3危险废物收集处置环境影响分析</w:t>
            </w:r>
          </w:p>
          <w:p w14:paraId="1360B997">
            <w:pPr>
              <w:widowControl/>
              <w:adjustRightInd w:val="0"/>
              <w:snapToGrid w:val="0"/>
              <w:ind w:firstLine="480"/>
              <w:jc w:val="left"/>
              <w:rPr>
                <w:color w:val="auto"/>
                <w:szCs w:val="24"/>
              </w:rPr>
            </w:pPr>
            <w:r>
              <w:rPr>
                <w:color w:val="auto"/>
                <w:szCs w:val="24"/>
              </w:rPr>
              <w:t>根据《建设项目危险废物环境影响评价指南》，危险废物收集、贮存、运输、利用、处置环节采取的污染防治措施见表4-</w:t>
            </w:r>
            <w:r>
              <w:rPr>
                <w:rFonts w:hint="eastAsia"/>
                <w:color w:val="auto"/>
                <w:szCs w:val="24"/>
              </w:rPr>
              <w:t>2</w:t>
            </w:r>
            <w:r>
              <w:rPr>
                <w:rFonts w:hint="eastAsia"/>
                <w:color w:val="auto"/>
                <w:szCs w:val="24"/>
                <w:lang w:val="en-US" w:eastAsia="zh-CN"/>
              </w:rPr>
              <w:t>4</w:t>
            </w:r>
            <w:r>
              <w:rPr>
                <w:color w:val="auto"/>
                <w:szCs w:val="24"/>
              </w:rPr>
              <w:t>。</w:t>
            </w:r>
          </w:p>
          <w:p w14:paraId="2DCE3D7A">
            <w:pPr>
              <w:adjustRightInd w:val="0"/>
              <w:snapToGrid w:val="0"/>
              <w:spacing w:line="500" w:lineRule="exact"/>
              <w:ind w:firstLine="480"/>
              <w:rPr>
                <w:bCs/>
                <w:color w:val="auto"/>
              </w:rPr>
            </w:pPr>
            <w:r>
              <w:rPr>
                <w:bCs/>
                <w:color w:val="auto"/>
              </w:rPr>
              <w:t>本项目建成后拟在厂房内东侧设置独立危废仓库，本项目贮存的危废主要为废活性炭、废机油、废油桶，本项目设置</w:t>
            </w:r>
            <w:r>
              <w:rPr>
                <w:rFonts w:hint="eastAsia"/>
                <w:bCs/>
                <w:color w:val="auto"/>
              </w:rPr>
              <w:t>10</w:t>
            </w:r>
            <w:r>
              <w:rPr>
                <w:bCs/>
                <w:color w:val="auto"/>
              </w:rPr>
              <w:t>m</w:t>
            </w:r>
            <w:r>
              <w:rPr>
                <w:bCs/>
                <w:color w:val="auto"/>
                <w:vertAlign w:val="superscript"/>
              </w:rPr>
              <w:t>2</w:t>
            </w:r>
            <w:r>
              <w:rPr>
                <w:bCs/>
                <w:color w:val="auto"/>
              </w:rPr>
              <w:t>的危废仓库，每平贮存能力按照0.8t计，使用系数取80%，则危废库贮存能力为</w:t>
            </w:r>
            <w:r>
              <w:rPr>
                <w:rFonts w:hint="eastAsia"/>
                <w:bCs/>
                <w:color w:val="auto"/>
              </w:rPr>
              <w:t>6.4</w:t>
            </w:r>
            <w:r>
              <w:rPr>
                <w:bCs/>
                <w:color w:val="auto"/>
              </w:rPr>
              <w:t>t，大于表4-22中最大贮存量</w:t>
            </w:r>
            <w:r>
              <w:rPr>
                <w:rFonts w:hint="eastAsia"/>
                <w:bCs/>
                <w:color w:val="auto"/>
                <w:lang w:val="en-US" w:eastAsia="zh-CN"/>
              </w:rPr>
              <w:t>3.77085</w:t>
            </w:r>
            <w:r>
              <w:rPr>
                <w:bCs/>
                <w:color w:val="auto"/>
              </w:rPr>
              <w:t>t，本项目危废库贮存能力满足贮存需求。</w:t>
            </w:r>
          </w:p>
          <w:p w14:paraId="5C193521">
            <w:pPr>
              <w:adjustRightInd w:val="0"/>
              <w:snapToGrid w:val="0"/>
              <w:spacing w:line="500" w:lineRule="exact"/>
              <w:ind w:firstLine="480"/>
              <w:rPr>
                <w:bCs/>
                <w:color w:val="auto"/>
              </w:rPr>
            </w:pPr>
            <w:r>
              <w:rPr>
                <w:bCs/>
                <w:color w:val="auto"/>
              </w:rPr>
              <w:t>为保证临时危险废物储存中心内暂存的危险废物不对环境产生污染，</w:t>
            </w:r>
            <w:r>
              <w:rPr>
                <w:color w:val="auto"/>
              </w:rPr>
              <w:t>根据《环境保护图形标志 固体废物贮存（处置）场》（GB15562.2-1995）、《省生态环境厅关于做好〈危险废物贮存污染控制标准〉等标准规范实施后危险废物环境管理衔接工作的通知》（苏环办</w:t>
            </w:r>
            <w:r>
              <w:rPr>
                <w:rFonts w:hint="eastAsia"/>
                <w:color w:val="auto"/>
              </w:rPr>
              <w:t>〔</w:t>
            </w:r>
            <w:r>
              <w:rPr>
                <w:color w:val="auto"/>
              </w:rPr>
              <w:t>2023</w:t>
            </w:r>
            <w:r>
              <w:rPr>
                <w:rFonts w:hint="eastAsia"/>
                <w:color w:val="auto"/>
              </w:rPr>
              <w:t>〕</w:t>
            </w:r>
            <w:r>
              <w:rPr>
                <w:color w:val="auto"/>
              </w:rPr>
              <w:t>154号）、《省生态环境厅关于做好江苏省危险废物全生命周期监控系统上线运行工作的通知》（苏环办</w:t>
            </w:r>
            <w:r>
              <w:rPr>
                <w:rFonts w:hint="eastAsia"/>
                <w:color w:val="auto"/>
              </w:rPr>
              <w:t>〔</w:t>
            </w:r>
            <w:r>
              <w:rPr>
                <w:color w:val="auto"/>
              </w:rPr>
              <w:t>2020</w:t>
            </w:r>
            <w:r>
              <w:rPr>
                <w:rFonts w:hint="eastAsia"/>
                <w:color w:val="auto"/>
              </w:rPr>
              <w:t>〕</w:t>
            </w:r>
            <w:r>
              <w:rPr>
                <w:color w:val="auto"/>
              </w:rPr>
              <w:t>401号）、《危险废物识别标志设置技术规范》（HJ1276-2022）中对“危险废物识别标志的制作”相关要求，规范设置危险废物标签、危险废物贮存分区标志、危险废物贮存设施标志。</w:t>
            </w:r>
            <w:r>
              <w:rPr>
                <w:bCs/>
                <w:color w:val="auto"/>
              </w:rPr>
              <w:t>配备通讯设备、照明设施和消防设施；在出入口、设施内部、危险废物运输车辆通道等位置按照危险废物贮存设施视频监控布设要求设置视频监控，并与中控室联网。</w:t>
            </w:r>
          </w:p>
          <w:p w14:paraId="4E181B96">
            <w:pPr>
              <w:adjustRightInd w:val="0"/>
              <w:snapToGrid w:val="0"/>
              <w:spacing w:line="500" w:lineRule="exact"/>
              <w:ind w:firstLine="480"/>
              <w:rPr>
                <w:color w:val="auto"/>
              </w:rPr>
            </w:pPr>
            <w:r>
              <w:rPr>
                <w:color w:val="auto"/>
              </w:rPr>
              <w:t>危险废物标签：设置在危险废物容器或包装物上，由文字、编码和图形符号等组合而成，用于向相关人群传递危险废物特定信息，以警示危险废物潜在环境危害的标志。</w:t>
            </w:r>
          </w:p>
          <w:p w14:paraId="0DE73937">
            <w:pPr>
              <w:adjustRightInd w:val="0"/>
              <w:snapToGrid w:val="0"/>
              <w:spacing w:line="500" w:lineRule="exact"/>
              <w:ind w:firstLine="480"/>
              <w:rPr>
                <w:color w:val="auto"/>
              </w:rPr>
            </w:pPr>
            <w:r>
              <w:rPr>
                <w:color w:val="auto"/>
              </w:rPr>
              <w:t>危险废物贮存设施标志：设置在产生贮存、利用、处置危险废物的设施、场所，用于引起人们对危险废物贮存、利用、处置活动的注意，以避免潜在环境危害的警告性区域信息标志。</w:t>
            </w:r>
          </w:p>
          <w:p w14:paraId="7A8A9FC9">
            <w:pPr>
              <w:adjustRightInd w:val="0"/>
              <w:snapToGrid w:val="0"/>
              <w:spacing w:line="500" w:lineRule="exact"/>
              <w:ind w:firstLine="480"/>
              <w:rPr>
                <w:color w:val="auto"/>
              </w:rPr>
            </w:pPr>
            <w:r>
              <w:rPr>
                <w:color w:val="auto"/>
              </w:rPr>
              <w:t>危险废物贮存分区标志：设置在危险废物贮存设施内部，用于显示危险废物贮存设施内贮存分区规划和危险废物贮存情况，以避免潜在环境危害的警告性信息标志。样式如下：</w:t>
            </w:r>
          </w:p>
          <w:p w14:paraId="43F9BF39">
            <w:pPr>
              <w:adjustRightInd w:val="0"/>
              <w:snapToGrid w:val="0"/>
              <w:ind w:firstLine="480"/>
              <w:rPr>
                <w:color w:val="auto"/>
              </w:rPr>
            </w:pPr>
            <w:r>
              <w:rPr>
                <w:color w:val="auto"/>
              </w:rPr>
              <w:t>本项目危险废物贮存设施的选址与设计：A.项目所在地结构稳定；B.地震烈度不超过7度的区域内，设施底部高于地下水最高水位；C.项目所在地不属于溶洞区或易遭受严重自然灾害如洪水、滑坡、泥石流、潮汐等影响的地区；D.不位于居民中心区常年最大风频的上风向。本项目危废贮存设施位于车间内。因此，危废仓库选址可行。</w:t>
            </w:r>
          </w:p>
          <w:p w14:paraId="5F29BF01">
            <w:pPr>
              <w:adjustRightInd w:val="0"/>
              <w:snapToGrid w:val="0"/>
              <w:ind w:firstLine="480"/>
              <w:rPr>
                <w:bCs/>
                <w:color w:val="auto"/>
              </w:rPr>
            </w:pPr>
            <w:r>
              <w:rPr>
                <w:bCs/>
                <w:color w:val="auto"/>
              </w:rPr>
              <w:t>本项目根据危险废物的种类和特性分别进行分区、分类贮存，并设置防雨、防火、防雷、防扬散、防渗漏装置及泄漏液体收集装置。根据《环境保护图形标志—固体废物贮存（处置场）》（GB15562.2-1995）及其修改单、《危险废物贮存污染控制标准》（GB18597-2023）等规定要求，本项目废活性炭存储于密闭的编织袋内，编织袋放置在危废仓库，废机油直接收集至废油桶与</w:t>
            </w:r>
            <w:r>
              <w:rPr>
                <w:color w:val="auto"/>
              </w:rPr>
              <w:t>废油桶</w:t>
            </w:r>
            <w:r>
              <w:rPr>
                <w:bCs/>
                <w:color w:val="auto"/>
              </w:rPr>
              <w:t>堆放暂存区位于危废仓库内，危废仓库应保持干燥、清洁，相对湿度保持在75%以下，应设置耐腐蚀的硬化地面（环氧树脂+水泥硬化），并设置围堰，由专人管理和维护，各类固体废物按照相关要求分类收集贮存，中间采用防护栅栏隔离。上述危险废物分类收集后贮存于相应的包装桶或其他容器内，包装容器符合相关规定，与固体废物无任何反应，对固废无影响。同时本项目危险废物堆放场所采取防渗漏或者其他防止污染环境的措施。项目设置满足要求的防渗措施后对区域土壤、地下水影响不大。符合</w:t>
            </w:r>
            <w:r>
              <w:rPr>
                <w:rFonts w:hint="eastAsia"/>
                <w:bCs/>
                <w:color w:val="auto"/>
              </w:rPr>
              <w:t>相关</w:t>
            </w:r>
            <w:r>
              <w:rPr>
                <w:bCs/>
                <w:color w:val="auto"/>
              </w:rPr>
              <w:t>要求，不会对地下水、地表水和土壤产生不利影响。</w:t>
            </w:r>
          </w:p>
          <w:p w14:paraId="5F916646">
            <w:pPr>
              <w:widowControl/>
              <w:adjustRightInd w:val="0"/>
              <w:snapToGrid w:val="0"/>
              <w:ind w:firstLine="482"/>
              <w:jc w:val="left"/>
              <w:rPr>
                <w:b/>
                <w:bCs/>
                <w:color w:val="auto"/>
                <w:szCs w:val="24"/>
              </w:rPr>
            </w:pPr>
            <w:r>
              <w:rPr>
                <w:b/>
                <w:bCs/>
                <w:color w:val="auto"/>
                <w:szCs w:val="24"/>
              </w:rPr>
              <w:t>4.4运输过程的环境影响分析</w:t>
            </w:r>
          </w:p>
          <w:p w14:paraId="680D6E42">
            <w:pPr>
              <w:widowControl/>
              <w:adjustRightInd w:val="0"/>
              <w:snapToGrid w:val="0"/>
              <w:ind w:firstLine="480"/>
              <w:jc w:val="left"/>
              <w:rPr>
                <w:bCs/>
                <w:color w:val="auto"/>
              </w:rPr>
            </w:pPr>
            <w:r>
              <w:rPr>
                <w:bCs/>
                <w:color w:val="auto"/>
              </w:rPr>
              <w:t>危险废物的收集、运输按照《危险废物收集、贮存、运输技术规范》（HJ2025-2012）的要求进行。在运输过程中，按照《江苏省固体废物污染环境防治条例》中对危险废物的包装、运输的有关标准、技术规范和要求进行，有效防止危险废物转移过程中污染环境。项目需处理的危险废物采用专门的车辆，密闭运输，严格禁止抛洒滴漏，杜绝在运输过程中造成环境的二次污染。在危险废物的运输中执行《危险废物转移管理办法》（部令 第23号）中有关的规定和要求。</w:t>
            </w:r>
          </w:p>
          <w:p w14:paraId="664BCA38">
            <w:pPr>
              <w:widowControl/>
              <w:adjustRightInd w:val="0"/>
              <w:snapToGrid w:val="0"/>
              <w:ind w:firstLine="480"/>
              <w:jc w:val="left"/>
              <w:rPr>
                <w:bCs/>
                <w:color w:val="auto"/>
              </w:rPr>
            </w:pPr>
            <w:r>
              <w:rPr>
                <w:bCs/>
                <w:color w:val="auto"/>
              </w:rPr>
              <w:t>①危险废物的运输车辆须经主管单位检查，并持有有关单位签发的许可证，负责运输的司机应通过培训，持有证明文件。</w:t>
            </w:r>
          </w:p>
          <w:p w14:paraId="0499A3EF">
            <w:pPr>
              <w:widowControl/>
              <w:adjustRightInd w:val="0"/>
              <w:snapToGrid w:val="0"/>
              <w:ind w:firstLine="480"/>
              <w:jc w:val="left"/>
              <w:rPr>
                <w:bCs/>
                <w:color w:val="auto"/>
              </w:rPr>
            </w:pPr>
            <w:r>
              <w:rPr>
                <w:bCs/>
                <w:color w:val="auto"/>
              </w:rPr>
              <w:t>②承载危险废物的车辆须有明显的标志或适当的危险符号，以引起注意。</w:t>
            </w:r>
          </w:p>
          <w:p w14:paraId="1532B648">
            <w:pPr>
              <w:widowControl/>
              <w:adjustRightInd w:val="0"/>
              <w:snapToGrid w:val="0"/>
              <w:ind w:firstLine="480"/>
              <w:jc w:val="left"/>
              <w:rPr>
                <w:bCs/>
                <w:color w:val="auto"/>
              </w:rPr>
            </w:pPr>
            <w:r>
              <w:rPr>
                <w:bCs/>
                <w:color w:val="auto"/>
              </w:rPr>
              <w:t>③载有危险废物的车辆在公路上行驶时，需持有运输许可证，其上应注明废物来源、性质和运往地点。</w:t>
            </w:r>
          </w:p>
          <w:p w14:paraId="5587B34F">
            <w:pPr>
              <w:widowControl/>
              <w:adjustRightInd w:val="0"/>
              <w:snapToGrid w:val="0"/>
              <w:ind w:firstLine="480"/>
              <w:jc w:val="left"/>
              <w:rPr>
                <w:bCs/>
                <w:color w:val="auto"/>
              </w:rPr>
            </w:pPr>
            <w:r>
              <w:rPr>
                <w:bCs/>
                <w:color w:val="auto"/>
              </w:rPr>
              <w:t>④组织危险废物的运输单位，在事先需作出周密的运输计划和行驶路线，其中包括有效的废物泄漏情况下的应急措施。</w:t>
            </w:r>
          </w:p>
          <w:p w14:paraId="51F6BEA8">
            <w:pPr>
              <w:widowControl/>
              <w:adjustRightInd w:val="0"/>
              <w:snapToGrid w:val="0"/>
              <w:ind w:firstLine="480"/>
              <w:jc w:val="left"/>
              <w:rPr>
                <w:bCs/>
                <w:color w:val="auto"/>
              </w:rPr>
            </w:pPr>
            <w:r>
              <w:rPr>
                <w:bCs/>
                <w:color w:val="auto"/>
              </w:rPr>
              <w:t>⑤必须配备随车人员在途中经常检查，危险废物如有丢失、被盗，应立即报告当地交通运输、环境保护主管部门，并由交通运输主管部门会同公安部门和环保部门查处。</w:t>
            </w:r>
          </w:p>
          <w:p w14:paraId="01FD0E86">
            <w:pPr>
              <w:widowControl/>
              <w:adjustRightInd w:val="0"/>
              <w:snapToGrid w:val="0"/>
              <w:ind w:firstLine="480"/>
              <w:jc w:val="left"/>
              <w:rPr>
                <w:bCs/>
                <w:color w:val="auto"/>
              </w:rPr>
            </w:pPr>
            <w:r>
              <w:rPr>
                <w:bCs/>
                <w:color w:val="auto"/>
              </w:rPr>
              <w:t>⑥驾驶人员一次连续驾驶4小时应休息20分钟以上，24小时之内实际驾驶时间累计不超过8小时。</w:t>
            </w:r>
          </w:p>
          <w:p w14:paraId="6422D5D6">
            <w:pPr>
              <w:widowControl/>
              <w:adjustRightInd w:val="0"/>
              <w:snapToGrid w:val="0"/>
              <w:ind w:firstLine="482"/>
              <w:jc w:val="left"/>
              <w:rPr>
                <w:b/>
                <w:bCs/>
                <w:color w:val="auto"/>
                <w:szCs w:val="24"/>
              </w:rPr>
            </w:pPr>
            <w:r>
              <w:rPr>
                <w:b/>
                <w:bCs/>
                <w:color w:val="auto"/>
                <w:szCs w:val="24"/>
              </w:rPr>
              <w:t>4.5</w:t>
            </w:r>
            <w:r>
              <w:rPr>
                <w:b/>
                <w:color w:val="auto"/>
              </w:rPr>
              <w:t>委外处置的环境影响分析</w:t>
            </w:r>
          </w:p>
          <w:p w14:paraId="27726490">
            <w:pPr>
              <w:widowControl/>
              <w:adjustRightInd w:val="0"/>
              <w:snapToGrid w:val="0"/>
              <w:ind w:firstLine="480"/>
              <w:jc w:val="left"/>
              <w:rPr>
                <w:color w:val="auto"/>
                <w:szCs w:val="24"/>
              </w:rPr>
            </w:pPr>
            <w:r>
              <w:rPr>
                <w:color w:val="auto"/>
                <w:szCs w:val="24"/>
              </w:rPr>
              <w:t>本项目产生的废活性炭（HW49 900-039-49）、废机油（HW08 900-249-08）、废机油桶（HW08 900-249-08）</w:t>
            </w:r>
            <w:r>
              <w:rPr>
                <w:rFonts w:hint="eastAsia"/>
                <w:color w:val="auto"/>
                <w:szCs w:val="24"/>
              </w:rPr>
              <w:t>、含油抹布手套（HW49 900-041-49）</w:t>
            </w:r>
            <w:r>
              <w:rPr>
                <w:color w:val="auto"/>
                <w:szCs w:val="24"/>
              </w:rPr>
              <w:t>拟委托江阴市锦绣江南环境发展有限公司处置。</w:t>
            </w:r>
          </w:p>
          <w:p w14:paraId="6A88AF6B">
            <w:pPr>
              <w:widowControl/>
              <w:adjustRightInd w:val="0"/>
              <w:snapToGrid w:val="0"/>
              <w:ind w:firstLine="480"/>
              <w:jc w:val="left"/>
              <w:rPr>
                <w:color w:val="auto"/>
                <w:szCs w:val="24"/>
              </w:rPr>
            </w:pPr>
            <w:r>
              <w:rPr>
                <w:color w:val="auto"/>
                <w:szCs w:val="24"/>
              </w:rPr>
              <w:t>江阴市锦绣江南环境发展有限公司位于江阴市月城镇环山路8号，根据其危废经营许可证（JS0281OOI572-4），主要经营范围为：处置方式为焚烧，处置类别为HW02医药废物，HW03废药物、药品HW04农药废物，HW06废有机溶剂与含有机溶剂废物，HW08废矿物油与含矿物油废物，HW09油/水、烃/水混合物或乳化液，HW11精（蒸）馏残渣，HW12染料、涂料废物，HW13有机树脂类废物，HW37有机磷化合物废物，HW39含酚废物，HW40含醚废物，HW45含有机卤化物废物，HW50废催化剂，231-001-16(HW16感光材料废物)，231-002-16(HW16感光材料废物)，266-009-16(HW16感光材料废物)，398-001-16(HW16感光材料废物)，772-006-49(HW49其他废物)，806-001-16(HW16感光材料废物)，873-001-16(HW16感光材料废物)，900-019-16(HW16感光材料废物)，900-039-49(HW49其他废物)，900-041-49(HW49其他废物)，900-042-49(HW49其他废物)，900-047-49(HW49其他废物)，900-999-49(HW49其他废物)。本项目产生的危废在其处置范围内，故委托江阴市锦绣江南环境发展有限公司处置可行。</w:t>
            </w:r>
          </w:p>
          <w:p w14:paraId="18BE842D">
            <w:pPr>
              <w:widowControl/>
              <w:adjustRightInd w:val="0"/>
              <w:snapToGrid w:val="0"/>
              <w:ind w:firstLine="482"/>
              <w:jc w:val="left"/>
              <w:rPr>
                <w:b/>
                <w:bCs/>
                <w:color w:val="auto"/>
                <w:szCs w:val="24"/>
              </w:rPr>
            </w:pPr>
            <w:r>
              <w:rPr>
                <w:b/>
                <w:bCs/>
                <w:color w:val="auto"/>
                <w:szCs w:val="24"/>
              </w:rPr>
              <w:t>4.6关于省生态环境厅关于印发《江苏省固体废物全过程环境监管工作意见》的通知（苏环办〔2024〕16号）相关要求</w:t>
            </w:r>
          </w:p>
          <w:p w14:paraId="5B870428">
            <w:pPr>
              <w:widowControl/>
              <w:adjustRightInd w:val="0"/>
              <w:snapToGrid w:val="0"/>
              <w:ind w:firstLine="482"/>
              <w:jc w:val="left"/>
              <w:rPr>
                <w:b/>
                <w:bCs/>
                <w:color w:val="auto"/>
                <w:szCs w:val="24"/>
              </w:rPr>
            </w:pPr>
            <w:r>
              <w:rPr>
                <w:b/>
                <w:bCs/>
                <w:color w:val="auto"/>
                <w:szCs w:val="24"/>
              </w:rPr>
              <w:t>4.7固体废物污染防治措施及其技术分析</w:t>
            </w:r>
          </w:p>
          <w:p w14:paraId="65B75463">
            <w:pPr>
              <w:adjustRightInd w:val="0"/>
              <w:snapToGrid w:val="0"/>
              <w:ind w:firstLine="480"/>
              <w:rPr>
                <w:color w:val="auto"/>
              </w:rPr>
            </w:pPr>
            <w:r>
              <w:rPr>
                <w:color w:val="auto"/>
              </w:rPr>
              <w:t>本项目危险废物定期收集，一般固废每周收集一次，生活垃圾每天收集一次；</w:t>
            </w:r>
          </w:p>
          <w:p w14:paraId="452D3C58">
            <w:pPr>
              <w:pStyle w:val="51"/>
              <w:adjustRightInd w:val="0"/>
              <w:snapToGrid w:val="0"/>
              <w:rPr>
                <w:color w:val="auto"/>
              </w:rPr>
            </w:pPr>
            <w:r>
              <w:rPr>
                <w:color w:val="auto"/>
              </w:rPr>
              <w:t>各类固体废物按照相关要求分类收集贮存，本</w:t>
            </w:r>
            <w:r>
              <w:rPr>
                <w:color w:val="auto"/>
                <w:szCs w:val="24"/>
              </w:rPr>
              <w:t>项目一般固废有边角料、废原料包装</w:t>
            </w:r>
            <w:r>
              <w:rPr>
                <w:bCs/>
                <w:color w:val="auto"/>
                <w:szCs w:val="24"/>
              </w:rPr>
              <w:t>、不合格品</w:t>
            </w:r>
            <w:r>
              <w:rPr>
                <w:color w:val="auto"/>
                <w:szCs w:val="24"/>
              </w:rPr>
              <w:t>经收集后回用和外售，危险废物有废油桶、废油、废活性炭</w:t>
            </w:r>
            <w:r>
              <w:rPr>
                <w:rFonts w:hint="eastAsia"/>
                <w:color w:val="auto"/>
                <w:szCs w:val="24"/>
              </w:rPr>
              <w:t>、含油抹布手套</w:t>
            </w:r>
            <w:r>
              <w:rPr>
                <w:color w:val="auto"/>
                <w:szCs w:val="24"/>
              </w:rPr>
              <w:t>，收集后交有资质单位处理。生活</w:t>
            </w:r>
            <w:r>
              <w:rPr>
                <w:color w:val="auto"/>
              </w:rPr>
              <w:t>垃圾收集后贮存于生活垃圾塑料桶，包装容器符合相关规定，与固体废物无任何反应，对固废无影响。</w:t>
            </w:r>
          </w:p>
          <w:p w14:paraId="7370E8C3">
            <w:pPr>
              <w:pStyle w:val="16"/>
              <w:adjustRightInd w:val="0"/>
              <w:ind w:firstLine="480"/>
              <w:rPr>
                <w:color w:val="auto"/>
                <w:sz w:val="24"/>
              </w:rPr>
            </w:pPr>
            <w:r>
              <w:rPr>
                <w:color w:val="auto"/>
                <w:sz w:val="24"/>
              </w:rPr>
              <w:t>综上所述，本项目固体废物贮存场所建设能够达到国家相关标准规定要求。</w:t>
            </w:r>
          </w:p>
          <w:p w14:paraId="4D9E7727">
            <w:pPr>
              <w:widowControl/>
              <w:adjustRightInd w:val="0"/>
              <w:snapToGrid w:val="0"/>
              <w:ind w:firstLine="482"/>
              <w:jc w:val="left"/>
              <w:rPr>
                <w:b/>
                <w:bCs/>
                <w:color w:val="auto"/>
                <w:szCs w:val="24"/>
              </w:rPr>
            </w:pPr>
            <w:r>
              <w:rPr>
                <w:b/>
                <w:bCs/>
                <w:color w:val="auto"/>
                <w:szCs w:val="24"/>
              </w:rPr>
              <w:t>4.8加强危险废物申报管理及落实信息公开制度</w:t>
            </w:r>
          </w:p>
          <w:p w14:paraId="534DE5D0">
            <w:pPr>
              <w:adjustRightInd w:val="0"/>
              <w:snapToGrid w:val="0"/>
              <w:ind w:firstLine="480"/>
              <w:rPr>
                <w:color w:val="auto"/>
              </w:rPr>
            </w:pPr>
            <w:r>
              <w:rPr>
                <w:color w:val="auto"/>
              </w:rPr>
              <w:t>项目实施后，将按规定申报危险废物产生、贮存、转移、利用处置等信息，制定危险废物年度管理计划，并在“江苏省危险废物动态管理信息系统”中备案。管理计划如需变更的，则重新在系统中申请备案。企业将结合自身实际，建立危险废物台账，如实记载危险废物的种类、数量、性质、产生环节、流向、贮存、利用处置等信息，并在“江苏省危险废物动态管理信息系统”中进行如实规范申报，申报数据应与台账、管理计划数据相一致。</w:t>
            </w:r>
          </w:p>
          <w:p w14:paraId="6E7643D0">
            <w:pPr>
              <w:adjustRightInd w:val="0"/>
              <w:snapToGrid w:val="0"/>
              <w:ind w:firstLine="480"/>
              <w:rPr>
                <w:color w:val="auto"/>
              </w:rPr>
            </w:pPr>
            <w:r>
              <w:rPr>
                <w:color w:val="auto"/>
              </w:rPr>
              <w:t>项目实施后，企业将按照该实施意见要求，在厂区门口显著位置设置危险废物信息公开栏，主动公开危险废物产生、利用处置等情况；企业有官方网站的，在官网上同时公开项目信息。</w:t>
            </w:r>
          </w:p>
          <w:p w14:paraId="4A1467F1">
            <w:pPr>
              <w:widowControl/>
              <w:adjustRightInd w:val="0"/>
              <w:snapToGrid w:val="0"/>
              <w:ind w:firstLine="482"/>
              <w:jc w:val="left"/>
              <w:rPr>
                <w:b/>
                <w:bCs/>
                <w:color w:val="auto"/>
                <w:szCs w:val="24"/>
              </w:rPr>
            </w:pPr>
            <w:r>
              <w:rPr>
                <w:b/>
                <w:bCs/>
                <w:color w:val="auto"/>
                <w:szCs w:val="24"/>
              </w:rPr>
              <w:t>4.9危险废物环境风险评价</w:t>
            </w:r>
          </w:p>
          <w:p w14:paraId="0BE45941">
            <w:pPr>
              <w:widowControl/>
              <w:adjustRightInd w:val="0"/>
              <w:snapToGrid w:val="0"/>
              <w:ind w:firstLine="480"/>
              <w:jc w:val="left"/>
              <w:rPr>
                <w:color w:val="auto"/>
              </w:rPr>
            </w:pPr>
            <w:r>
              <w:rPr>
                <w:color w:val="auto"/>
              </w:rPr>
              <w:t>根据《建设项目环境风险评价技术导则》（HJ169-2018）附录A.1中相关物质辨识标准、《危险化学品重大危险源辨识》（GB18218-2018）中的规定和《化学品分类、警示性标签和警示说明安全规范急性毒性》（GB20592-2006），《职业性接触毒物危害程度分析》（GBZ230-2010）等，本项目不存在重大危险源。</w:t>
            </w:r>
          </w:p>
          <w:p w14:paraId="5240B7C7">
            <w:pPr>
              <w:widowControl/>
              <w:adjustRightInd w:val="0"/>
              <w:snapToGrid w:val="0"/>
              <w:ind w:firstLine="480"/>
              <w:jc w:val="left"/>
              <w:rPr>
                <w:color w:val="auto"/>
              </w:rPr>
            </w:pPr>
            <w:r>
              <w:rPr>
                <w:color w:val="auto"/>
              </w:rPr>
              <w:t>根据本项目实际情况，本评价提出如下风险防范措施：</w:t>
            </w:r>
          </w:p>
          <w:p w14:paraId="17D72ABB">
            <w:pPr>
              <w:widowControl/>
              <w:adjustRightInd w:val="0"/>
              <w:snapToGrid w:val="0"/>
              <w:ind w:firstLine="480"/>
              <w:jc w:val="left"/>
              <w:rPr>
                <w:color w:val="auto"/>
              </w:rPr>
            </w:pPr>
            <w:r>
              <w:rPr>
                <w:color w:val="auto"/>
              </w:rPr>
              <w:fldChar w:fldCharType="begin"/>
            </w:r>
            <w:r>
              <w:rPr>
                <w:color w:val="auto"/>
              </w:rPr>
              <w:instrText xml:space="preserve"> = 1 \* GB3 </w:instrText>
            </w:r>
            <w:r>
              <w:rPr>
                <w:color w:val="auto"/>
              </w:rPr>
              <w:fldChar w:fldCharType="separate"/>
            </w:r>
            <w:r>
              <w:rPr>
                <w:color w:val="auto"/>
              </w:rPr>
              <w:t>①</w:t>
            </w:r>
            <w:r>
              <w:rPr>
                <w:color w:val="auto"/>
              </w:rPr>
              <w:fldChar w:fldCharType="end"/>
            </w:r>
            <w:r>
              <w:rPr>
                <w:color w:val="auto"/>
              </w:rPr>
              <w:t>加强管理工作，设专人负责危险废物的安全贮存、厂区内运输，按照其物化性质、危险特性等特征采取相应的安全贮存方式；</w:t>
            </w:r>
          </w:p>
          <w:p w14:paraId="348F0ED1">
            <w:pPr>
              <w:widowControl/>
              <w:adjustRightInd w:val="0"/>
              <w:snapToGrid w:val="0"/>
              <w:ind w:firstLine="480"/>
              <w:jc w:val="left"/>
              <w:rPr>
                <w:color w:val="auto"/>
              </w:rPr>
            </w:pPr>
            <w:r>
              <w:rPr>
                <w:color w:val="auto"/>
              </w:rPr>
              <w:fldChar w:fldCharType="begin"/>
            </w:r>
            <w:r>
              <w:rPr>
                <w:color w:val="auto"/>
              </w:rPr>
              <w:instrText xml:space="preserve"> = 2 \* GB3 </w:instrText>
            </w:r>
            <w:r>
              <w:rPr>
                <w:color w:val="auto"/>
              </w:rPr>
              <w:fldChar w:fldCharType="separate"/>
            </w:r>
            <w:r>
              <w:rPr>
                <w:color w:val="auto"/>
              </w:rPr>
              <w:t>②</w:t>
            </w:r>
            <w:r>
              <w:rPr>
                <w:color w:val="auto"/>
              </w:rPr>
              <w:fldChar w:fldCharType="end"/>
            </w:r>
            <w:r>
              <w:rPr>
                <w:color w:val="auto"/>
              </w:rPr>
              <w:t>针对危险废物的贮存、输运制定安全条例，严禁靠近明火；</w:t>
            </w:r>
          </w:p>
          <w:p w14:paraId="6F383B52">
            <w:pPr>
              <w:widowControl/>
              <w:adjustRightInd w:val="0"/>
              <w:snapToGrid w:val="0"/>
              <w:ind w:firstLine="480"/>
              <w:jc w:val="left"/>
              <w:rPr>
                <w:color w:val="auto"/>
              </w:rPr>
            </w:pPr>
            <w:r>
              <w:rPr>
                <w:color w:val="auto"/>
              </w:rPr>
              <w:fldChar w:fldCharType="begin"/>
            </w:r>
            <w:r>
              <w:rPr>
                <w:color w:val="auto"/>
              </w:rPr>
              <w:instrText xml:space="preserve"> = 3 \* GB3 </w:instrText>
            </w:r>
            <w:r>
              <w:rPr>
                <w:color w:val="auto"/>
              </w:rPr>
              <w:fldChar w:fldCharType="separate"/>
            </w:r>
            <w:r>
              <w:rPr>
                <w:color w:val="auto"/>
              </w:rPr>
              <w:t>③</w:t>
            </w:r>
            <w:r>
              <w:rPr>
                <w:color w:val="auto"/>
              </w:rPr>
              <w:fldChar w:fldCharType="end"/>
            </w:r>
            <w:r>
              <w:rPr>
                <w:color w:val="auto"/>
              </w:rPr>
              <w:t>结合消防等专业制定事故应急预案，一旦发生事故后能够及时采取有效措施进行科学处置，将事故破坏降至最低限度，同时考虑各种处置方案的科学合理性以及有效性。</w:t>
            </w:r>
          </w:p>
          <w:p w14:paraId="5B4898FF">
            <w:pPr>
              <w:widowControl/>
              <w:adjustRightInd w:val="0"/>
              <w:snapToGrid w:val="0"/>
              <w:ind w:firstLine="480"/>
              <w:jc w:val="left"/>
              <w:rPr>
                <w:color w:val="auto"/>
              </w:rPr>
            </w:pPr>
            <w:r>
              <w:rPr>
                <w:color w:val="auto"/>
              </w:rPr>
              <w:fldChar w:fldCharType="begin"/>
            </w:r>
            <w:r>
              <w:rPr>
                <w:color w:val="auto"/>
              </w:rPr>
              <w:instrText xml:space="preserve"> = 4 \* GB3 </w:instrText>
            </w:r>
            <w:r>
              <w:rPr>
                <w:color w:val="auto"/>
              </w:rPr>
              <w:fldChar w:fldCharType="separate"/>
            </w:r>
            <w:r>
              <w:rPr>
                <w:color w:val="auto"/>
              </w:rPr>
              <w:t>④</w:t>
            </w:r>
            <w:r>
              <w:rPr>
                <w:color w:val="auto"/>
              </w:rPr>
              <w:fldChar w:fldCharType="end"/>
            </w:r>
            <w:r>
              <w:rPr>
                <w:color w:val="auto"/>
              </w:rPr>
              <w:t>履行危险废物申报登记制度、建立台账管理制度、执行报批和转移联单的制度。</w:t>
            </w:r>
          </w:p>
          <w:p w14:paraId="0B22512C">
            <w:pPr>
              <w:widowControl/>
              <w:adjustRightInd w:val="0"/>
              <w:snapToGrid w:val="0"/>
              <w:ind w:firstLine="480"/>
              <w:jc w:val="left"/>
              <w:rPr>
                <w:color w:val="auto"/>
              </w:rPr>
            </w:pPr>
            <w:r>
              <w:rPr>
                <w:color w:val="auto"/>
              </w:rPr>
              <w:t>必须指出的是，固体废物处理处置前在厂内的堆放、贮存场所应按照国家固体废物贮存有关要求设置，危险废物应分类收集、贮存，防止危险废物与一般工业固体废物、生活垃圾混放后，引发危险废物的二次污染；各种固体废物在厂内堆放和转移运输过程应防止对环境造成影响，堆放场所采取防火、防扬散、防流失、防渗漏或者其他防止污染环境的措施后，降低对环境的影响。</w:t>
            </w:r>
          </w:p>
          <w:p w14:paraId="3E90B2FE">
            <w:pPr>
              <w:widowControl/>
              <w:adjustRightInd w:val="0"/>
              <w:snapToGrid w:val="0"/>
              <w:ind w:firstLine="480"/>
              <w:jc w:val="left"/>
              <w:rPr>
                <w:color w:val="auto"/>
              </w:rPr>
            </w:pPr>
            <w:r>
              <w:rPr>
                <w:color w:val="auto"/>
              </w:rPr>
              <w:t>通过以上措施，建设项目产生的固体废物均得到了妥善处置和利用，对外环境的影响可减至最小程度。</w:t>
            </w:r>
          </w:p>
          <w:p w14:paraId="502F81FB">
            <w:pPr>
              <w:widowControl/>
              <w:adjustRightInd w:val="0"/>
              <w:snapToGrid w:val="0"/>
              <w:ind w:firstLine="482"/>
              <w:jc w:val="left"/>
              <w:rPr>
                <w:b/>
                <w:bCs/>
                <w:color w:val="auto"/>
                <w:szCs w:val="24"/>
              </w:rPr>
            </w:pPr>
            <w:r>
              <w:rPr>
                <w:b/>
                <w:bCs/>
                <w:color w:val="auto"/>
                <w:szCs w:val="24"/>
              </w:rPr>
              <w:t>4.10固体废物环境管理与监测</w:t>
            </w:r>
          </w:p>
          <w:p w14:paraId="499A4D81">
            <w:pPr>
              <w:adjustRightInd w:val="0"/>
              <w:snapToGrid w:val="0"/>
              <w:ind w:firstLine="480"/>
              <w:rPr>
                <w:color w:val="auto"/>
              </w:rPr>
            </w:pPr>
            <w:r>
              <w:rPr>
                <w:color w:val="auto"/>
              </w:rPr>
              <w:t>制定环境风险事故应急预案的目的是为了在发生突发事件时，能以最快的速度发挥最大的效能，有序的实施救援，尽快控制事态的发展，降低事故造成的危害，减少事故造成的损失。</w:t>
            </w:r>
          </w:p>
          <w:p w14:paraId="3F9C271A">
            <w:pPr>
              <w:adjustRightInd w:val="0"/>
              <w:snapToGrid w:val="0"/>
              <w:ind w:firstLine="420"/>
              <w:rPr>
                <w:color w:val="auto"/>
              </w:rPr>
            </w:pPr>
            <w:r>
              <w:rPr>
                <w:color w:val="auto"/>
              </w:rPr>
              <w:t>环境风险事故应急预案的内容主要有以下几点：</w:t>
            </w:r>
          </w:p>
          <w:p w14:paraId="6494F718">
            <w:pPr>
              <w:adjustRightInd w:val="0"/>
              <w:snapToGrid w:val="0"/>
              <w:ind w:firstLine="480"/>
              <w:rPr>
                <w:color w:val="auto"/>
              </w:rPr>
            </w:pPr>
            <w:r>
              <w:rPr>
                <w:color w:val="auto"/>
              </w:rPr>
              <w:t>a.设立应急组织机构、人员</w:t>
            </w:r>
          </w:p>
          <w:p w14:paraId="41D84E14">
            <w:pPr>
              <w:adjustRightInd w:val="0"/>
              <w:snapToGrid w:val="0"/>
              <w:ind w:firstLine="480"/>
              <w:rPr>
                <w:color w:val="auto"/>
              </w:rPr>
            </w:pPr>
            <w:r>
              <w:rPr>
                <w:color w:val="auto"/>
              </w:rPr>
              <w:t>公司应该成立“应急救援领导小组”，当发生突发事件的时候，能尽快采取有效措施，第一时间投入紧急事故处理，以防事态进一步扩大。</w:t>
            </w:r>
          </w:p>
          <w:p w14:paraId="2238207F">
            <w:pPr>
              <w:adjustRightInd w:val="0"/>
              <w:snapToGrid w:val="0"/>
              <w:ind w:firstLine="480"/>
              <w:rPr>
                <w:color w:val="auto"/>
              </w:rPr>
            </w:pPr>
            <w:r>
              <w:rPr>
                <w:color w:val="auto"/>
              </w:rPr>
              <w:t>b.配备应急救援保障</w:t>
            </w:r>
          </w:p>
          <w:p w14:paraId="5E4369B3">
            <w:pPr>
              <w:adjustRightInd w:val="0"/>
              <w:snapToGrid w:val="0"/>
              <w:ind w:firstLine="480"/>
              <w:rPr>
                <w:color w:val="auto"/>
              </w:rPr>
            </w:pPr>
            <w:r>
              <w:rPr>
                <w:color w:val="auto"/>
              </w:rPr>
              <w:t>整个厂区的公用工程、行政管理及生产设施人员全部由公司统一配置，如：消防设施、应急通讯、道路交通、应急电源、招聘、厂内备有危险目标的重要设备备件和事故应急救援时所需的各类物资等。</w:t>
            </w:r>
          </w:p>
          <w:p w14:paraId="5B3ACF64">
            <w:pPr>
              <w:adjustRightInd w:val="0"/>
              <w:snapToGrid w:val="0"/>
              <w:ind w:firstLine="480"/>
              <w:rPr>
                <w:color w:val="auto"/>
              </w:rPr>
            </w:pPr>
            <w:r>
              <w:rPr>
                <w:color w:val="auto"/>
              </w:rPr>
              <w:t>同时还应该考虑外部救援，比如单位互助，平时与周邻单位约定救援信号，届时发出信号请求救援。</w:t>
            </w:r>
          </w:p>
          <w:p w14:paraId="7A332796">
            <w:pPr>
              <w:adjustRightInd w:val="0"/>
              <w:snapToGrid w:val="0"/>
              <w:ind w:firstLine="480"/>
              <w:rPr>
                <w:color w:val="auto"/>
              </w:rPr>
            </w:pPr>
            <w:r>
              <w:rPr>
                <w:color w:val="auto"/>
              </w:rPr>
              <w:t>c.应急环境监测、抢险、救援及控制措施</w:t>
            </w:r>
          </w:p>
          <w:p w14:paraId="178293CA">
            <w:pPr>
              <w:adjustRightInd w:val="0"/>
              <w:snapToGrid w:val="0"/>
              <w:ind w:firstLine="480"/>
              <w:rPr>
                <w:color w:val="auto"/>
              </w:rPr>
            </w:pPr>
            <w:r>
              <w:rPr>
                <w:color w:val="auto"/>
              </w:rPr>
              <w:t>抢险抢修队到达现场后，根据指挥部下达的抢修指令，迅速进行抢修设备，控制事故。医疗救护队到达现场后，与消防队配合，立即救护伤员，治安队到达现场后，迅速组织救护伤员撤离，组织纠察在事故现场周围设岗划分禁区或加强警戒和巡逻检查等，救援措施后，努力争取在事故发生的初期阶段控制住险情，如事故可能扩大，应立即上报政府部门，请求增援。</w:t>
            </w:r>
          </w:p>
          <w:p w14:paraId="076C6E40">
            <w:pPr>
              <w:adjustRightInd w:val="0"/>
              <w:snapToGrid w:val="0"/>
              <w:ind w:firstLine="480"/>
              <w:rPr>
                <w:color w:val="auto"/>
              </w:rPr>
            </w:pPr>
            <w:r>
              <w:rPr>
                <w:color w:val="auto"/>
              </w:rPr>
              <w:t>d.制定和实施已经培训计划</w:t>
            </w:r>
          </w:p>
          <w:p w14:paraId="65CE33C3">
            <w:pPr>
              <w:adjustRightInd w:val="0"/>
              <w:snapToGrid w:val="0"/>
              <w:ind w:firstLine="480"/>
              <w:rPr>
                <w:color w:val="auto"/>
              </w:rPr>
            </w:pPr>
            <w:r>
              <w:rPr>
                <w:color w:val="auto"/>
              </w:rPr>
              <w:t>安全环保品质管理室应半年一次定期组织开展全员安全教育和业务技术培训。事故应急处理措施，并能及时正确进行事故应急处置。会正确使用各种灭火器材，发生事故及时报警。消防队员要经常开展业务技术训练和突发性事故应急救援训练。</w:t>
            </w:r>
          </w:p>
          <w:p w14:paraId="32A4A79E">
            <w:pPr>
              <w:adjustRightInd w:val="0"/>
              <w:snapToGrid w:val="0"/>
              <w:ind w:firstLine="480"/>
              <w:rPr>
                <w:color w:val="auto"/>
              </w:rPr>
            </w:pPr>
            <w:r>
              <w:rPr>
                <w:color w:val="auto"/>
              </w:rPr>
              <w:t>e.定期进行公众教育和信息发布</w:t>
            </w:r>
          </w:p>
          <w:p w14:paraId="71BF21D3">
            <w:pPr>
              <w:adjustRightInd w:val="0"/>
              <w:snapToGrid w:val="0"/>
              <w:ind w:firstLine="482"/>
              <w:rPr>
                <w:color w:val="auto"/>
                <w:szCs w:val="24"/>
              </w:rPr>
            </w:pPr>
            <w:r>
              <w:rPr>
                <w:b/>
                <w:bCs/>
                <w:color w:val="auto"/>
                <w:szCs w:val="24"/>
              </w:rPr>
              <w:t>5、地下水、土壤</w:t>
            </w:r>
          </w:p>
          <w:p w14:paraId="4C819C27">
            <w:pPr>
              <w:pStyle w:val="44"/>
              <w:adjustRightInd w:val="0"/>
              <w:snapToGrid w:val="0"/>
              <w:ind w:firstLine="482"/>
              <w:rPr>
                <w:b/>
                <w:bCs/>
                <w:color w:val="auto"/>
                <w:szCs w:val="24"/>
              </w:rPr>
            </w:pPr>
            <w:r>
              <w:rPr>
                <w:b/>
                <w:bCs/>
                <w:color w:val="auto"/>
                <w:szCs w:val="24"/>
              </w:rPr>
              <w:t>5.1地下水和土壤环境影响源及影响因子识别</w:t>
            </w:r>
          </w:p>
          <w:p w14:paraId="235071CA">
            <w:pPr>
              <w:pStyle w:val="44"/>
              <w:adjustRightInd w:val="0"/>
              <w:snapToGrid w:val="0"/>
              <w:ind w:firstLine="480"/>
              <w:rPr>
                <w:color w:val="auto"/>
                <w:szCs w:val="24"/>
              </w:rPr>
            </w:pPr>
            <w:r>
              <w:rPr>
                <w:color w:val="auto"/>
                <w:szCs w:val="24"/>
              </w:rPr>
              <w:t>本项目可能造成土壤、地下水污染的是废气形成大气沉降、原料仓库原料泄漏、</w:t>
            </w:r>
            <w:r>
              <w:rPr>
                <w:color w:val="auto"/>
                <w:szCs w:val="24"/>
                <w:lang w:bidi="ar"/>
              </w:rPr>
              <w:t>危险废物暂存区危废</w:t>
            </w:r>
            <w:r>
              <w:rPr>
                <w:color w:val="auto"/>
                <w:szCs w:val="24"/>
              </w:rPr>
              <w:t>泄漏形成地面漫流、垂直入渗。本项目废气主要为非甲烷总烃、颗粒物，主要通过大气沉降对周围土壤环境造成一定影响，但因废气排放量较少，对环境影响较小。厂区地面采取防渗措施，不会因垂直入渗对周边土壤、地下水环境造成影响。</w:t>
            </w:r>
          </w:p>
          <w:p w14:paraId="3E5FF2EE">
            <w:pPr>
              <w:adjustRightInd w:val="0"/>
              <w:snapToGrid w:val="0"/>
              <w:ind w:firstLine="480"/>
              <w:rPr>
                <w:b/>
                <w:bCs/>
                <w:color w:val="auto"/>
                <w:szCs w:val="24"/>
              </w:rPr>
            </w:pPr>
            <w:r>
              <w:rPr>
                <w:color w:val="auto"/>
                <w:kern w:val="0"/>
              </w:rPr>
              <w:t>综上，本项目原料桶定期检查是否存在破损情况，有效防止泄漏事故，同时本项目拟采取分区防渗、厂区地面硬化、定期检查等完善的土壤、地下水污染防治措施，可有效防止事故状态下的渗漏，防止土壤、地下水环境污染，本项目产生的废气通过大气沉降对土壤环境影响较小，建设项目对土壤、地下水环境影响较小。因此，本次评价认为拟建项目在采取了有效的土壤、地下水防控措施后，污染物一般不会对土壤、地下水产生不利影响，不需开展跟踪监测。</w:t>
            </w:r>
          </w:p>
          <w:p w14:paraId="01F768AF">
            <w:pPr>
              <w:adjustRightInd w:val="0"/>
              <w:snapToGrid w:val="0"/>
              <w:ind w:firstLine="482"/>
              <w:rPr>
                <w:b/>
                <w:bCs/>
                <w:color w:val="auto"/>
                <w:szCs w:val="24"/>
              </w:rPr>
            </w:pPr>
            <w:r>
              <w:rPr>
                <w:b/>
                <w:bCs/>
                <w:color w:val="auto"/>
                <w:szCs w:val="24"/>
              </w:rPr>
              <w:t>6、生态</w:t>
            </w:r>
          </w:p>
          <w:p w14:paraId="0B77BB59">
            <w:pPr>
              <w:pStyle w:val="13"/>
              <w:adjustRightInd w:val="0"/>
              <w:snapToGrid w:val="0"/>
              <w:spacing w:after="0"/>
              <w:ind w:left="0" w:leftChars="0" w:right="0" w:rightChars="0" w:firstLine="480"/>
              <w:rPr>
                <w:color w:val="auto"/>
                <w:szCs w:val="24"/>
              </w:rPr>
            </w:pPr>
            <w:r>
              <w:rPr>
                <w:color w:val="auto"/>
                <w:szCs w:val="24"/>
              </w:rPr>
              <w:t>本项目不属于产业园区外新增用地项目，且用地范围内无生态环境保护目标，因此不涉及生态环境影响。</w:t>
            </w:r>
          </w:p>
          <w:p w14:paraId="0B5AFA89">
            <w:pPr>
              <w:adjustRightInd w:val="0"/>
              <w:snapToGrid w:val="0"/>
              <w:ind w:firstLine="482"/>
              <w:rPr>
                <w:b/>
                <w:bCs/>
                <w:color w:val="auto"/>
                <w:szCs w:val="24"/>
              </w:rPr>
            </w:pPr>
            <w:r>
              <w:rPr>
                <w:b/>
                <w:bCs/>
                <w:color w:val="auto"/>
                <w:szCs w:val="24"/>
              </w:rPr>
              <w:t>7、环境风险</w:t>
            </w:r>
          </w:p>
          <w:p w14:paraId="3C4A22E4">
            <w:pPr>
              <w:pStyle w:val="13"/>
              <w:adjustRightInd w:val="0"/>
              <w:snapToGrid w:val="0"/>
              <w:spacing w:after="0"/>
              <w:ind w:left="0" w:leftChars="0" w:right="0" w:rightChars="0" w:firstLine="482"/>
              <w:rPr>
                <w:b/>
                <w:bCs/>
                <w:color w:val="auto"/>
                <w:szCs w:val="24"/>
              </w:rPr>
            </w:pPr>
            <w:r>
              <w:rPr>
                <w:b/>
                <w:bCs/>
                <w:color w:val="auto"/>
                <w:szCs w:val="24"/>
              </w:rPr>
              <w:t>7.1风险物质</w:t>
            </w:r>
          </w:p>
          <w:p w14:paraId="03295A34">
            <w:pPr>
              <w:pStyle w:val="44"/>
              <w:adjustRightInd w:val="0"/>
              <w:snapToGrid w:val="0"/>
              <w:ind w:firstLine="480"/>
              <w:rPr>
                <w:color w:val="auto"/>
                <w:szCs w:val="24"/>
              </w:rPr>
            </w:pPr>
            <w:r>
              <w:rPr>
                <w:color w:val="auto"/>
                <w:szCs w:val="24"/>
              </w:rPr>
              <w:t>根据《建设项目环境风险评价技术导则》（HJ169-2018）中附录C，计算本项目所涉及的每种危险物质在厂界内的最大存在总量与其在附录B中对应临界量的比值Q。当只涉及一种危险物质时，计算该物质的总量与其临界量比值，即为Q；当存在多种危险物质时，则按下式计算物质总量与其临界量比值（Q）；</w:t>
            </w:r>
          </w:p>
          <w:p w14:paraId="64763383">
            <w:pPr>
              <w:adjustRightInd w:val="0"/>
              <w:snapToGrid w:val="0"/>
              <w:ind w:firstLine="480"/>
              <w:jc w:val="center"/>
              <w:rPr>
                <w:color w:val="auto"/>
                <w:szCs w:val="24"/>
              </w:rPr>
            </w:pPr>
            <w:r>
              <w:rPr>
                <w:color w:val="auto"/>
                <w:szCs w:val="24"/>
              </w:rPr>
              <w:drawing>
                <wp:inline distT="0" distB="0" distL="114300" distR="114300">
                  <wp:extent cx="1958340" cy="624840"/>
                  <wp:effectExtent l="0" t="0" r="3810" b="3810"/>
                  <wp:docPr id="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pic:cNvPicPr>
                            <a:picLocks noChangeAspect="1"/>
                          </pic:cNvPicPr>
                        </pic:nvPicPr>
                        <pic:blipFill>
                          <a:blip r:embed="rId23"/>
                          <a:stretch>
                            <a:fillRect/>
                          </a:stretch>
                        </pic:blipFill>
                        <pic:spPr>
                          <a:xfrm>
                            <a:off x="0" y="0"/>
                            <a:ext cx="1958340" cy="624840"/>
                          </a:xfrm>
                          <a:prstGeom prst="rect">
                            <a:avLst/>
                          </a:prstGeom>
                          <a:noFill/>
                          <a:ln>
                            <a:noFill/>
                          </a:ln>
                        </pic:spPr>
                      </pic:pic>
                    </a:graphicData>
                  </a:graphic>
                </wp:inline>
              </w:drawing>
            </w:r>
          </w:p>
          <w:p w14:paraId="25A31265">
            <w:pPr>
              <w:adjustRightInd w:val="0"/>
              <w:snapToGrid w:val="0"/>
              <w:ind w:firstLine="480"/>
              <w:rPr>
                <w:color w:val="auto"/>
                <w:szCs w:val="24"/>
              </w:rPr>
            </w:pPr>
            <w:r>
              <w:rPr>
                <w:color w:val="auto"/>
                <w:szCs w:val="24"/>
              </w:rPr>
              <w:t>式中：q1，q2，…，qn——每种危险物质的最大存在总量，t；</w:t>
            </w:r>
          </w:p>
          <w:p w14:paraId="7C056316">
            <w:pPr>
              <w:adjustRightInd w:val="0"/>
              <w:snapToGrid w:val="0"/>
              <w:ind w:firstLine="480"/>
              <w:rPr>
                <w:color w:val="auto"/>
                <w:szCs w:val="24"/>
              </w:rPr>
            </w:pPr>
            <w:r>
              <w:rPr>
                <w:color w:val="auto"/>
                <w:szCs w:val="24"/>
              </w:rPr>
              <w:t>Q1，Q2，…，Qn——每种危险物质的临界量，t。</w:t>
            </w:r>
          </w:p>
          <w:p w14:paraId="2290393F">
            <w:pPr>
              <w:pStyle w:val="13"/>
              <w:adjustRightInd w:val="0"/>
              <w:snapToGrid w:val="0"/>
              <w:spacing w:after="0"/>
              <w:ind w:left="0" w:leftChars="0" w:right="0" w:rightChars="0" w:firstLine="482"/>
              <w:rPr>
                <w:b/>
                <w:bCs/>
                <w:color w:val="auto"/>
                <w:szCs w:val="24"/>
              </w:rPr>
            </w:pPr>
            <w:r>
              <w:rPr>
                <w:b/>
                <w:bCs/>
                <w:color w:val="auto"/>
                <w:szCs w:val="24"/>
              </w:rPr>
              <w:t>7.2风险源分布及影响途径</w:t>
            </w:r>
          </w:p>
          <w:p w14:paraId="04F352D3">
            <w:pPr>
              <w:pStyle w:val="44"/>
              <w:adjustRightInd w:val="0"/>
              <w:snapToGrid w:val="0"/>
              <w:ind w:firstLine="480"/>
              <w:rPr>
                <w:color w:val="auto"/>
                <w:szCs w:val="24"/>
              </w:rPr>
            </w:pPr>
            <w:r>
              <w:rPr>
                <w:color w:val="auto"/>
                <w:szCs w:val="24"/>
              </w:rPr>
              <w:t>环境影响途径及危害后果为：</w:t>
            </w:r>
          </w:p>
          <w:p w14:paraId="05BD2A98">
            <w:pPr>
              <w:pStyle w:val="44"/>
              <w:adjustRightInd w:val="0"/>
              <w:snapToGrid w:val="0"/>
              <w:ind w:firstLine="480"/>
              <w:rPr>
                <w:color w:val="auto"/>
                <w:szCs w:val="24"/>
              </w:rPr>
            </w:pPr>
            <w:r>
              <w:rPr>
                <w:color w:val="auto"/>
                <w:szCs w:val="24"/>
              </w:rPr>
              <w:t>（1）对大气的污染</w:t>
            </w:r>
          </w:p>
          <w:p w14:paraId="4517C232">
            <w:pPr>
              <w:adjustRightInd w:val="0"/>
              <w:snapToGrid w:val="0"/>
              <w:ind w:firstLine="480"/>
              <w:rPr>
                <w:color w:val="auto"/>
                <w:szCs w:val="24"/>
              </w:rPr>
            </w:pPr>
            <w:r>
              <w:rPr>
                <w:color w:val="auto"/>
                <w:szCs w:val="24"/>
              </w:rPr>
              <w:t>建设项目运营中有非甲烷总烃产生，若二级活性炭吸附装置故障导致废气未经处理排放，将对周边大气环境造成污染；废机油、废活性炭可能会引发火灾，产生次生/伴生污染物CO等，会导致局部空气恶化。</w:t>
            </w:r>
          </w:p>
          <w:p w14:paraId="3B81E2D7">
            <w:pPr>
              <w:pStyle w:val="44"/>
              <w:adjustRightInd w:val="0"/>
              <w:snapToGrid w:val="0"/>
              <w:ind w:firstLine="480"/>
              <w:rPr>
                <w:color w:val="auto"/>
                <w:szCs w:val="24"/>
              </w:rPr>
            </w:pPr>
            <w:r>
              <w:rPr>
                <w:color w:val="auto"/>
                <w:szCs w:val="24"/>
              </w:rPr>
              <w:t>（2）对水体的污染</w:t>
            </w:r>
          </w:p>
          <w:p w14:paraId="00E81EFC">
            <w:pPr>
              <w:pStyle w:val="44"/>
              <w:adjustRightInd w:val="0"/>
              <w:snapToGrid w:val="0"/>
              <w:ind w:firstLine="480"/>
              <w:rPr>
                <w:color w:val="auto"/>
                <w:szCs w:val="24"/>
              </w:rPr>
            </w:pPr>
            <w:r>
              <w:rPr>
                <w:color w:val="auto"/>
                <w:szCs w:val="24"/>
              </w:rPr>
              <w:t>燃烧后的物质因处理不当随污水流入就近河流或渗入地下，从而对水体和地下水体造成污染。燃烧后的物质较难分解，且在分级过程中易产生对环境有害的物质，并可能随水体进入生物链，产生生态影响。</w:t>
            </w:r>
          </w:p>
          <w:p w14:paraId="63F96AF5">
            <w:pPr>
              <w:pStyle w:val="44"/>
              <w:adjustRightInd w:val="0"/>
              <w:snapToGrid w:val="0"/>
              <w:ind w:firstLine="480"/>
              <w:rPr>
                <w:color w:val="auto"/>
                <w:szCs w:val="24"/>
              </w:rPr>
            </w:pPr>
            <w:r>
              <w:rPr>
                <w:color w:val="auto"/>
                <w:szCs w:val="24"/>
              </w:rPr>
              <w:t>（3）对土壤、地下水的污染</w:t>
            </w:r>
          </w:p>
          <w:p w14:paraId="728928CC">
            <w:pPr>
              <w:pStyle w:val="44"/>
              <w:adjustRightInd w:val="0"/>
              <w:snapToGrid w:val="0"/>
              <w:ind w:firstLine="480"/>
              <w:rPr>
                <w:color w:val="auto"/>
                <w:szCs w:val="24"/>
              </w:rPr>
            </w:pPr>
            <w:r>
              <w:rPr>
                <w:color w:val="auto"/>
                <w:szCs w:val="24"/>
              </w:rPr>
              <w:t>项目产生的生活污水泄漏后会对土壤、地下水产生一定影响。</w:t>
            </w:r>
          </w:p>
          <w:p w14:paraId="12EEFFB7">
            <w:pPr>
              <w:pStyle w:val="13"/>
              <w:adjustRightInd w:val="0"/>
              <w:snapToGrid w:val="0"/>
              <w:spacing w:after="0"/>
              <w:ind w:left="0" w:leftChars="0" w:right="0" w:rightChars="0" w:firstLine="482"/>
              <w:rPr>
                <w:b/>
                <w:bCs/>
                <w:color w:val="auto"/>
                <w:szCs w:val="24"/>
              </w:rPr>
            </w:pPr>
            <w:r>
              <w:rPr>
                <w:b/>
                <w:bCs/>
                <w:color w:val="auto"/>
                <w:szCs w:val="24"/>
              </w:rPr>
              <w:t>7.3风险防范措施</w:t>
            </w:r>
          </w:p>
          <w:p w14:paraId="75D4CEA4">
            <w:pPr>
              <w:pStyle w:val="44"/>
              <w:adjustRightInd w:val="0"/>
              <w:snapToGrid w:val="0"/>
              <w:ind w:firstLine="480"/>
              <w:rPr>
                <w:color w:val="auto"/>
                <w:szCs w:val="24"/>
              </w:rPr>
            </w:pPr>
            <w:r>
              <w:rPr>
                <w:color w:val="auto"/>
                <w:szCs w:val="24"/>
              </w:rPr>
              <w:t>本项目拟采取以下的风险防范措施：</w:t>
            </w:r>
          </w:p>
          <w:p w14:paraId="00086E81">
            <w:pPr>
              <w:pStyle w:val="44"/>
              <w:adjustRightInd w:val="0"/>
              <w:snapToGrid w:val="0"/>
              <w:ind w:firstLine="480"/>
              <w:rPr>
                <w:color w:val="auto"/>
                <w:szCs w:val="24"/>
              </w:rPr>
            </w:pPr>
            <w:r>
              <w:rPr>
                <w:color w:val="auto"/>
                <w:szCs w:val="24"/>
              </w:rPr>
              <w:t>（1）泄漏事故的防范措施</w:t>
            </w:r>
          </w:p>
          <w:p w14:paraId="5E840754">
            <w:pPr>
              <w:pStyle w:val="44"/>
              <w:adjustRightInd w:val="0"/>
              <w:snapToGrid w:val="0"/>
              <w:ind w:firstLine="480"/>
              <w:rPr>
                <w:color w:val="auto"/>
                <w:szCs w:val="24"/>
              </w:rPr>
            </w:pPr>
            <w:r>
              <w:rPr>
                <w:color w:val="auto"/>
                <w:szCs w:val="24"/>
              </w:rPr>
              <w:t>加强物品运输车辆的管理，严格遵守危险品运输管理规定，避免运输过程事故的发生。</w:t>
            </w:r>
          </w:p>
          <w:p w14:paraId="0A1A11C3">
            <w:pPr>
              <w:pStyle w:val="44"/>
              <w:adjustRightInd w:val="0"/>
              <w:snapToGrid w:val="0"/>
              <w:ind w:firstLine="480"/>
              <w:rPr>
                <w:color w:val="auto"/>
                <w:szCs w:val="24"/>
              </w:rPr>
            </w:pPr>
            <w:r>
              <w:rPr>
                <w:color w:val="auto"/>
                <w:szCs w:val="24"/>
              </w:rPr>
              <w:t>发生泄漏事故后，最早发现者应立即通知部门负责人，并根据召集应急救援小组，及时采取一切办法控制泄漏蔓延。采取措施尽快堵漏，然后对泄漏物进行收集和暂存，阻止泄漏物料进入外环境。将泄漏的废液收集至储存桶内暂存，地面残留废液采用惰性材料吸附，收集的泄漏物委托有资质单位处置。</w:t>
            </w:r>
          </w:p>
          <w:p w14:paraId="25282AB3">
            <w:pPr>
              <w:pStyle w:val="44"/>
              <w:adjustRightInd w:val="0"/>
              <w:snapToGrid w:val="0"/>
              <w:ind w:firstLine="480"/>
              <w:rPr>
                <w:color w:val="auto"/>
                <w:szCs w:val="24"/>
              </w:rPr>
            </w:pPr>
            <w:r>
              <w:rPr>
                <w:color w:val="auto"/>
                <w:szCs w:val="24"/>
              </w:rPr>
              <w:t>（2）安全生产管理系统</w:t>
            </w:r>
          </w:p>
          <w:p w14:paraId="10FAEC19">
            <w:pPr>
              <w:pStyle w:val="44"/>
              <w:adjustRightInd w:val="0"/>
              <w:snapToGrid w:val="0"/>
              <w:ind w:firstLine="480"/>
              <w:rPr>
                <w:color w:val="auto"/>
                <w:szCs w:val="24"/>
              </w:rPr>
            </w:pPr>
            <w:r>
              <w:rPr>
                <w:color w:val="auto"/>
                <w:szCs w:val="24"/>
              </w:rPr>
              <w:t>项目投产后，建设单位在安全生产方面制定一系列的安全生产管理制度。健全安全生产责任机制，建立各岗位的安全操作规程，技术规程，设置安全管理机构，成立企业安全生产领导小组和配备专职安全生产管理人员。制定规章制度的主要有：安全教育和培训制度、劳动防护用品和保健品发放管理制度、安全检修制度、安全设施和设备管理制度、安全检查和隐患管理制度、危险化学品安全管理制度、作业场所职业卫生管理制度、事故管理制度，并定期对职工进行体检，建立职工健康档案。</w:t>
            </w:r>
          </w:p>
          <w:p w14:paraId="0540311C">
            <w:pPr>
              <w:adjustRightInd w:val="0"/>
              <w:snapToGrid w:val="0"/>
              <w:ind w:firstLine="480"/>
              <w:rPr>
                <w:color w:val="auto"/>
                <w:szCs w:val="24"/>
              </w:rPr>
            </w:pPr>
            <w:r>
              <w:rPr>
                <w:color w:val="auto"/>
                <w:szCs w:val="24"/>
              </w:rPr>
              <w:t>（3）火灾事故风险防范措施</w:t>
            </w:r>
          </w:p>
          <w:p w14:paraId="0AA8B13A">
            <w:pPr>
              <w:adjustRightInd w:val="0"/>
              <w:snapToGrid w:val="0"/>
              <w:ind w:firstLine="480"/>
              <w:rPr>
                <w:color w:val="auto"/>
                <w:szCs w:val="24"/>
              </w:rPr>
            </w:pPr>
            <w:r>
              <w:rPr>
                <w:color w:val="auto"/>
                <w:szCs w:val="24"/>
              </w:rPr>
              <w:t>操作工或负责人及时进行判断，向全体工作人员和上司通报发生火灾的详细情况。依《异常发生的处置操作规程》中止各工序的作业。</w:t>
            </w:r>
          </w:p>
          <w:p w14:paraId="04A3BE70">
            <w:pPr>
              <w:adjustRightInd w:val="0"/>
              <w:snapToGrid w:val="0"/>
              <w:ind w:firstLine="480"/>
              <w:rPr>
                <w:color w:val="auto"/>
                <w:szCs w:val="24"/>
              </w:rPr>
            </w:pPr>
            <w:r>
              <w:rPr>
                <w:color w:val="auto"/>
                <w:szCs w:val="24"/>
              </w:rPr>
              <w:t>将抢救伤员放在首位，发现负伤者，将其向安全场所转移的同时，迅速向上司报告，寻求救护。</w:t>
            </w:r>
          </w:p>
          <w:p w14:paraId="18CD834A">
            <w:pPr>
              <w:adjustRightInd w:val="0"/>
              <w:snapToGrid w:val="0"/>
              <w:ind w:firstLine="480"/>
              <w:rPr>
                <w:color w:val="auto"/>
                <w:szCs w:val="24"/>
              </w:rPr>
            </w:pPr>
            <w:r>
              <w:rPr>
                <w:color w:val="auto"/>
                <w:szCs w:val="24"/>
              </w:rPr>
              <w:t>根据火灾情况，由当班负责人会同上司组成临时消防班，根据物料性质选择灭火方式：遇湿易燃物品禁用水。此活动要以救出人命和灭火为优先，并立即与上司进行联系，如判断有可能造成人身伤害和爆炸时，应立即撤离到安全的地区，同时由总务人事部门或安全负责人根据火灾状况向邻近消防队发出求援信息，必要时向邻近企业发出临时避难请求，使用二氧化碳灭火器的必须开门，防止缺氧。</w:t>
            </w:r>
          </w:p>
          <w:p w14:paraId="1F3274FE">
            <w:pPr>
              <w:adjustRightInd w:val="0"/>
              <w:snapToGrid w:val="0"/>
              <w:ind w:firstLine="480"/>
              <w:rPr>
                <w:color w:val="auto"/>
                <w:szCs w:val="24"/>
              </w:rPr>
            </w:pPr>
            <w:r>
              <w:rPr>
                <w:color w:val="auto"/>
                <w:szCs w:val="24"/>
              </w:rPr>
              <w:t>在消防部门到达后，公司应急救援总指挥和现场总指挥及时向消防部门汇报情况，配合消防部门进行灭火工作，此时指挥权由消防部门担任，所有人员应服从消防部门的指挥。</w:t>
            </w:r>
          </w:p>
          <w:p w14:paraId="6DBEF635">
            <w:pPr>
              <w:adjustRightInd w:val="0"/>
              <w:snapToGrid w:val="0"/>
              <w:ind w:firstLine="480"/>
              <w:rPr>
                <w:color w:val="auto"/>
                <w:szCs w:val="24"/>
              </w:rPr>
            </w:pPr>
            <w:r>
              <w:rPr>
                <w:color w:val="auto"/>
                <w:szCs w:val="24"/>
              </w:rPr>
              <w:t>在灭火过程中建议：A、如有可能，转移未着火的容器。防止包装破损，引起环境污染。B、选择合适的事故废水收集和应急储存设施收容消防废水，防止流入雨水管网进入河流。</w:t>
            </w:r>
          </w:p>
          <w:p w14:paraId="51F84976">
            <w:pPr>
              <w:adjustRightInd w:val="0"/>
              <w:snapToGrid w:val="0"/>
              <w:ind w:firstLine="480"/>
              <w:rPr>
                <w:color w:val="auto"/>
                <w:szCs w:val="24"/>
              </w:rPr>
            </w:pPr>
            <w:r>
              <w:rPr>
                <w:color w:val="auto"/>
                <w:szCs w:val="24"/>
              </w:rPr>
              <w:t>（4）泄漏事故应急处置</w:t>
            </w:r>
          </w:p>
          <w:p w14:paraId="3D271799">
            <w:pPr>
              <w:adjustRightInd w:val="0"/>
              <w:snapToGrid w:val="0"/>
              <w:ind w:firstLine="480"/>
              <w:rPr>
                <w:color w:val="auto"/>
                <w:szCs w:val="24"/>
              </w:rPr>
            </w:pPr>
            <w:r>
              <w:rPr>
                <w:color w:val="auto"/>
                <w:szCs w:val="24"/>
              </w:rPr>
              <w:t>发生泄漏事故后，最早发现者应立即通知部门负责人，并根据召集应急救援小组，及时采取一切办法控制泄漏蔓延。采取措施尽快堵漏，然后对泄漏物进行收集和暂存，阻止泄漏物料进入外环境。将泄漏的废液收集至储存桶内暂存，地面残留废液采用惰性材料吸附，收集的泄漏物委托有资质单位处置。</w:t>
            </w:r>
          </w:p>
          <w:p w14:paraId="1FC1195B">
            <w:pPr>
              <w:adjustRightInd w:val="0"/>
              <w:snapToGrid w:val="0"/>
              <w:ind w:firstLine="480"/>
              <w:rPr>
                <w:color w:val="auto"/>
                <w:szCs w:val="24"/>
              </w:rPr>
            </w:pPr>
            <w:r>
              <w:rPr>
                <w:color w:val="auto"/>
                <w:szCs w:val="24"/>
              </w:rPr>
              <w:t>针对废气设施事故风险，加强废气处理设施的维护保养，及时发现处理设备的隐患，并及时进行维修确保废气处理系统正常运行，开、停、检修要有预案，有严密周全的计划，确保不 发生事故排放或使影响最小；建立健全的环保机构，对管理人员和技术人员进行岗位培训，对废气处理实行全过程跟踪控制；废气处理设施必须确保日常运行，如发现人为原因不开启废气治理设施，责任人应受行政和经济处罚，并承担事故排放责任及相应的法律责任。若末端治理措施因故不能运行，则生产必须停止。为确保处理效率，在厂房设备检修期间，末端处理系统也应同时进行检修，日常应有专人负责进行维护。</w:t>
            </w:r>
          </w:p>
          <w:p w14:paraId="229B053E">
            <w:pPr>
              <w:adjustRightInd w:val="0"/>
              <w:snapToGrid w:val="0"/>
              <w:ind w:firstLine="482"/>
              <w:rPr>
                <w:b/>
                <w:bCs/>
                <w:color w:val="auto"/>
                <w:szCs w:val="24"/>
              </w:rPr>
            </w:pPr>
            <w:r>
              <w:rPr>
                <w:b/>
                <w:bCs/>
                <w:color w:val="auto"/>
                <w:szCs w:val="24"/>
              </w:rPr>
              <w:t>7.4突发环境事件应急预案</w:t>
            </w:r>
          </w:p>
          <w:p w14:paraId="3024EF4B">
            <w:pPr>
              <w:adjustRightInd w:val="0"/>
              <w:snapToGrid w:val="0"/>
              <w:ind w:firstLine="480"/>
              <w:rPr>
                <w:color w:val="auto"/>
                <w:szCs w:val="24"/>
              </w:rPr>
            </w:pPr>
            <w:r>
              <w:rPr>
                <w:color w:val="auto"/>
                <w:szCs w:val="24"/>
              </w:rPr>
              <w:t>本项目建设后，建设单位应及时编制应急预案，进行评审发布并及时备案。为了在发生突发事故时，能以最快的速度发挥最大的效能，有序的实施救援，尽快控制事态的发展，降低事故造成的危害，减少事故造成的损失，故本项目制定该初步应急预案。</w:t>
            </w:r>
          </w:p>
          <w:p w14:paraId="13FCECEF">
            <w:pPr>
              <w:adjustRightInd w:val="0"/>
              <w:snapToGrid w:val="0"/>
              <w:ind w:firstLine="480"/>
              <w:rPr>
                <w:color w:val="auto"/>
                <w:szCs w:val="24"/>
              </w:rPr>
            </w:pPr>
            <w:r>
              <w:rPr>
                <w:color w:val="auto"/>
                <w:szCs w:val="24"/>
              </w:rPr>
              <w:t>（1）划定应急计划区</w:t>
            </w:r>
          </w:p>
          <w:p w14:paraId="691A5ABF">
            <w:pPr>
              <w:adjustRightInd w:val="0"/>
              <w:snapToGrid w:val="0"/>
              <w:ind w:firstLine="480"/>
              <w:rPr>
                <w:color w:val="auto"/>
                <w:szCs w:val="24"/>
              </w:rPr>
            </w:pPr>
            <w:r>
              <w:rPr>
                <w:color w:val="auto"/>
                <w:szCs w:val="24"/>
              </w:rPr>
              <w:t>本项目涉及的危险物质主要为机油、废</w:t>
            </w:r>
            <w:r>
              <w:rPr>
                <w:rFonts w:hint="eastAsia"/>
                <w:color w:val="auto"/>
                <w:szCs w:val="24"/>
              </w:rPr>
              <w:t>机油</w:t>
            </w:r>
            <w:r>
              <w:rPr>
                <w:color w:val="auto"/>
                <w:szCs w:val="24"/>
              </w:rPr>
              <w:t>、废</w:t>
            </w:r>
            <w:r>
              <w:rPr>
                <w:rFonts w:hint="eastAsia"/>
                <w:color w:val="auto"/>
                <w:szCs w:val="24"/>
              </w:rPr>
              <w:t>活性炭</w:t>
            </w:r>
            <w:r>
              <w:rPr>
                <w:color w:val="auto"/>
                <w:szCs w:val="24"/>
              </w:rPr>
              <w:t>等，环境风险类型主要为泄漏、火灾。根据本项目的生产特点，将原料仓库、危废仓库作为本项目重点防范目标。</w:t>
            </w:r>
          </w:p>
          <w:p w14:paraId="33184DFE">
            <w:pPr>
              <w:adjustRightInd w:val="0"/>
              <w:snapToGrid w:val="0"/>
              <w:ind w:firstLine="480"/>
              <w:rPr>
                <w:color w:val="auto"/>
                <w:szCs w:val="24"/>
              </w:rPr>
            </w:pPr>
            <w:r>
              <w:rPr>
                <w:color w:val="auto"/>
                <w:szCs w:val="24"/>
              </w:rPr>
              <w:t>（2）设立应急组织机构</w:t>
            </w:r>
          </w:p>
          <w:p w14:paraId="4674E5BC">
            <w:pPr>
              <w:adjustRightInd w:val="0"/>
              <w:snapToGrid w:val="0"/>
              <w:ind w:firstLine="480"/>
              <w:rPr>
                <w:color w:val="auto"/>
                <w:szCs w:val="24"/>
              </w:rPr>
            </w:pPr>
            <w:r>
              <w:rPr>
                <w:color w:val="auto"/>
                <w:szCs w:val="24"/>
              </w:rPr>
              <w:t>当发生突发事故时，应急救援组织能尽快地采取有效的措施，第一时间投入紧急事故的处理，以防事态进一步扩大。厂区设立的应急救援小组包括厂指挥部和专业救援队伍。厂指挥部负责现场全面指挥；专业救援队伍负责事故控制、救援和善后处理。按照公司“预防为主、自救为主、统一指挥、分工负责”的原则，公司成立“应急救援领导小组”。</w:t>
            </w:r>
          </w:p>
          <w:p w14:paraId="0D9E3CAF">
            <w:pPr>
              <w:adjustRightInd w:val="0"/>
              <w:snapToGrid w:val="0"/>
              <w:ind w:firstLine="480"/>
              <w:rPr>
                <w:color w:val="auto"/>
                <w:szCs w:val="24"/>
              </w:rPr>
            </w:pPr>
            <w:r>
              <w:rPr>
                <w:color w:val="auto"/>
                <w:szCs w:val="24"/>
              </w:rPr>
              <w:t>厂区应急救援领导小组下设应急救援指挥部，地点在公司安环部门。日常安全环保工作由安环主管管理。当发生重大事故时，由事故应急救援指挥部处理，调查事故。当应急救援总指挥不在公司内时，由副总指挥全权负责处理事故事宜，并以最快的速度，最佳的手段和方法，减少或避免事故的扩大以及不必要的人员伤亡和损失。</w:t>
            </w:r>
          </w:p>
          <w:p w14:paraId="0A8AC1D2">
            <w:pPr>
              <w:adjustRightInd w:val="0"/>
              <w:snapToGrid w:val="0"/>
              <w:ind w:firstLine="480"/>
              <w:rPr>
                <w:color w:val="auto"/>
                <w:szCs w:val="24"/>
              </w:rPr>
            </w:pPr>
            <w:r>
              <w:rPr>
                <w:color w:val="auto"/>
                <w:szCs w:val="24"/>
              </w:rPr>
              <w:t>为了更好的处理应急事故，必须和地区的应急救援组织需求支援，事发后先报警或通知附近的救援组织。地区的应急救援组织在接到厂的救援电话后，以最快的速度赶到事发地。地区应急救援组织的指挥部负责工厂附近地区全面指挥、救援、管制和疏散，地区专业救援组织负责对厂专业救援队伍的支援。</w:t>
            </w:r>
          </w:p>
          <w:p w14:paraId="57DDC4A1">
            <w:pPr>
              <w:adjustRightInd w:val="0"/>
              <w:snapToGrid w:val="0"/>
              <w:ind w:firstLine="480"/>
              <w:rPr>
                <w:color w:val="auto"/>
                <w:szCs w:val="24"/>
              </w:rPr>
            </w:pPr>
            <w:r>
              <w:rPr>
                <w:color w:val="auto"/>
                <w:szCs w:val="24"/>
              </w:rPr>
              <w:t>B、外部救援</w:t>
            </w:r>
          </w:p>
          <w:p w14:paraId="71CD36A4">
            <w:pPr>
              <w:adjustRightInd w:val="0"/>
              <w:snapToGrid w:val="0"/>
              <w:ind w:firstLine="480"/>
              <w:rPr>
                <w:color w:val="auto"/>
                <w:szCs w:val="24"/>
              </w:rPr>
            </w:pPr>
            <w:r>
              <w:rPr>
                <w:color w:val="auto"/>
                <w:szCs w:val="24"/>
              </w:rPr>
              <w:t>a、单位互助，平时与周邻单位约定救援信号，届时发出信号请求救援。</w:t>
            </w:r>
          </w:p>
          <w:p w14:paraId="68B62FD5">
            <w:pPr>
              <w:adjustRightInd w:val="0"/>
              <w:snapToGrid w:val="0"/>
              <w:ind w:firstLine="480"/>
              <w:rPr>
                <w:color w:val="auto"/>
                <w:szCs w:val="24"/>
              </w:rPr>
            </w:pPr>
            <w:r>
              <w:rPr>
                <w:color w:val="auto"/>
                <w:szCs w:val="24"/>
              </w:rPr>
              <w:t>b、平时与当地消防部门和医院（卫生院）加强联系，届时请求救援。</w:t>
            </w:r>
          </w:p>
          <w:p w14:paraId="3055DAC4">
            <w:pPr>
              <w:adjustRightInd w:val="0"/>
              <w:snapToGrid w:val="0"/>
              <w:ind w:firstLine="480"/>
              <w:rPr>
                <w:color w:val="auto"/>
                <w:szCs w:val="24"/>
              </w:rPr>
            </w:pPr>
            <w:r>
              <w:rPr>
                <w:color w:val="auto"/>
                <w:szCs w:val="24"/>
              </w:rPr>
              <w:t>c、请求政府协调应急救援力量。</w:t>
            </w:r>
          </w:p>
          <w:p w14:paraId="68B6699E">
            <w:pPr>
              <w:adjustRightInd w:val="0"/>
              <w:snapToGrid w:val="0"/>
              <w:ind w:firstLine="480"/>
              <w:rPr>
                <w:color w:val="auto"/>
                <w:szCs w:val="24"/>
              </w:rPr>
            </w:pPr>
            <w:r>
              <w:rPr>
                <w:color w:val="auto"/>
                <w:szCs w:val="24"/>
              </w:rPr>
              <w:t>d、应急救援信息咨询和专家信息。</w:t>
            </w:r>
          </w:p>
          <w:p w14:paraId="38FEB920">
            <w:pPr>
              <w:adjustRightInd w:val="0"/>
              <w:snapToGrid w:val="0"/>
              <w:ind w:firstLine="480"/>
              <w:rPr>
                <w:color w:val="auto"/>
                <w:szCs w:val="24"/>
              </w:rPr>
            </w:pPr>
            <w:r>
              <w:rPr>
                <w:color w:val="auto"/>
                <w:szCs w:val="24"/>
              </w:rPr>
              <w:t>（4）规定报警、通讯联络方式</w:t>
            </w:r>
          </w:p>
          <w:p w14:paraId="1F10DB97">
            <w:pPr>
              <w:adjustRightInd w:val="0"/>
              <w:snapToGrid w:val="0"/>
              <w:ind w:firstLine="480"/>
              <w:rPr>
                <w:color w:val="auto"/>
                <w:szCs w:val="24"/>
              </w:rPr>
            </w:pPr>
            <w:r>
              <w:rPr>
                <w:color w:val="auto"/>
                <w:szCs w:val="24"/>
              </w:rPr>
              <w:t>生产车间和办公室都必须在醒目处张贴应急状态下的报警通讯方式，地区应急救援组织的通知方式，医疗救护联系方式、交通管制部门联系方式等。</w:t>
            </w:r>
          </w:p>
          <w:p w14:paraId="64C4F6F6">
            <w:pPr>
              <w:adjustRightInd w:val="0"/>
              <w:snapToGrid w:val="0"/>
              <w:ind w:firstLine="480"/>
              <w:rPr>
                <w:color w:val="auto"/>
                <w:szCs w:val="24"/>
              </w:rPr>
            </w:pPr>
            <w:r>
              <w:rPr>
                <w:color w:val="auto"/>
                <w:szCs w:val="24"/>
              </w:rPr>
              <w:t>各救援人员配备手机等，用于事故发生时的通讯联络和应急救援。</w:t>
            </w:r>
          </w:p>
          <w:p w14:paraId="734323AA">
            <w:pPr>
              <w:adjustRightInd w:val="0"/>
              <w:snapToGrid w:val="0"/>
              <w:ind w:firstLine="480"/>
              <w:rPr>
                <w:color w:val="auto"/>
                <w:szCs w:val="24"/>
              </w:rPr>
            </w:pPr>
            <w:r>
              <w:rPr>
                <w:color w:val="auto"/>
                <w:szCs w:val="24"/>
              </w:rPr>
              <w:t>（5）事故处理</w:t>
            </w:r>
          </w:p>
          <w:p w14:paraId="71BC2AF7">
            <w:pPr>
              <w:adjustRightInd w:val="0"/>
              <w:snapToGrid w:val="0"/>
              <w:ind w:firstLine="480"/>
              <w:rPr>
                <w:color w:val="auto"/>
                <w:szCs w:val="24"/>
              </w:rPr>
            </w:pPr>
            <w:r>
              <w:rPr>
                <w:color w:val="auto"/>
                <w:szCs w:val="24"/>
              </w:rPr>
              <w:t>当事故发生时，厂区内必须针对事故及时采取治理措施。一旦发生事故时，做到立即响应，并且充分发挥整体组织功能，在人身确保安全的前提下，采取相应措施，将灾害减到最低程度，避免火势扩大殃及周围场所，避免造成重大人员伤亡。</w:t>
            </w:r>
          </w:p>
          <w:p w14:paraId="5AC92975">
            <w:pPr>
              <w:adjustRightInd w:val="0"/>
              <w:snapToGrid w:val="0"/>
              <w:ind w:firstLine="480"/>
              <w:rPr>
                <w:color w:val="auto"/>
                <w:szCs w:val="24"/>
              </w:rPr>
            </w:pPr>
            <w:r>
              <w:rPr>
                <w:color w:val="auto"/>
                <w:szCs w:val="24"/>
              </w:rPr>
              <w:t>（6）应急监测</w:t>
            </w:r>
          </w:p>
          <w:p w14:paraId="724864B6">
            <w:pPr>
              <w:adjustRightInd w:val="0"/>
              <w:snapToGrid w:val="0"/>
              <w:ind w:firstLine="480"/>
              <w:rPr>
                <w:color w:val="auto"/>
                <w:szCs w:val="24"/>
              </w:rPr>
            </w:pPr>
            <w:r>
              <w:rPr>
                <w:color w:val="auto"/>
                <w:szCs w:val="24"/>
              </w:rPr>
              <w:t>突发环境事件发生后，迅速组织监测人员赶赴现场，确定监测方案，及时开展应急监测工作。应急监测时应按照《突发环境事件应急监测技术规范》（HJ589-2021）等文件的要求进行。</w:t>
            </w:r>
          </w:p>
          <w:p w14:paraId="5E4C99F1">
            <w:pPr>
              <w:adjustRightInd w:val="0"/>
              <w:snapToGrid w:val="0"/>
              <w:ind w:firstLine="480"/>
              <w:rPr>
                <w:color w:val="auto"/>
                <w:szCs w:val="24"/>
              </w:rPr>
            </w:pPr>
            <w:r>
              <w:rPr>
                <w:color w:val="auto"/>
                <w:szCs w:val="24"/>
              </w:rPr>
              <w:t>由于企业应急监测能力不足，委托第三方监测机构对事故现场进行现场应急监测，对事故性质、参数与后果进行评估，为指挥部门提供决策依据。</w:t>
            </w:r>
          </w:p>
          <w:p w14:paraId="3BBAAE42">
            <w:pPr>
              <w:adjustRightInd w:val="0"/>
              <w:snapToGrid w:val="0"/>
              <w:ind w:firstLine="480"/>
              <w:rPr>
                <w:color w:val="auto"/>
                <w:szCs w:val="24"/>
              </w:rPr>
            </w:pPr>
            <w:r>
              <w:rPr>
                <w:color w:val="auto"/>
                <w:szCs w:val="24"/>
              </w:rPr>
              <w:t>a.水污染源监测</w:t>
            </w:r>
          </w:p>
          <w:p w14:paraId="03BBEF8C">
            <w:pPr>
              <w:adjustRightInd w:val="0"/>
              <w:snapToGrid w:val="0"/>
              <w:ind w:firstLine="480"/>
              <w:rPr>
                <w:color w:val="auto"/>
                <w:szCs w:val="24"/>
              </w:rPr>
            </w:pPr>
            <w:r>
              <w:rPr>
                <w:color w:val="auto"/>
                <w:szCs w:val="24"/>
              </w:rPr>
              <w:t>监测点布设：地表水下游监测断面。</w:t>
            </w:r>
          </w:p>
          <w:p w14:paraId="5BE191F8">
            <w:pPr>
              <w:adjustRightInd w:val="0"/>
              <w:snapToGrid w:val="0"/>
              <w:ind w:firstLine="480"/>
              <w:rPr>
                <w:color w:val="auto"/>
                <w:szCs w:val="24"/>
              </w:rPr>
            </w:pPr>
            <w:r>
              <w:rPr>
                <w:color w:val="auto"/>
                <w:szCs w:val="24"/>
              </w:rPr>
              <w:t>监测项目：pH、COD、SS、氨氮、TN等；特征污染物根据发生事故时的实际情况确定。</w:t>
            </w:r>
          </w:p>
          <w:p w14:paraId="77A9B533">
            <w:pPr>
              <w:adjustRightInd w:val="0"/>
              <w:snapToGrid w:val="0"/>
              <w:ind w:firstLine="480"/>
              <w:rPr>
                <w:color w:val="auto"/>
                <w:szCs w:val="24"/>
              </w:rPr>
            </w:pPr>
            <w:r>
              <w:rPr>
                <w:color w:val="auto"/>
                <w:szCs w:val="24"/>
              </w:rPr>
              <w:t>监测频次：应急初期，控制断面原则上每1~2小时开展一次监测，其中，各控制断面采样时间应相同。用于发布信息的断面原则上每天监测次数不少于1次。根据处置情况和污染物浓度变化态势进行动态调整。</w:t>
            </w:r>
          </w:p>
          <w:p w14:paraId="44996B20">
            <w:pPr>
              <w:adjustRightInd w:val="0"/>
              <w:snapToGrid w:val="0"/>
              <w:ind w:firstLine="480"/>
              <w:rPr>
                <w:color w:val="auto"/>
                <w:szCs w:val="24"/>
              </w:rPr>
            </w:pPr>
            <w:r>
              <w:rPr>
                <w:color w:val="auto"/>
                <w:szCs w:val="24"/>
              </w:rPr>
              <w:t>监测采样和分析方法：《环境监测技术规范》和《地表水和污水监测技术规范》。</w:t>
            </w:r>
          </w:p>
          <w:p w14:paraId="4CAF7F5E">
            <w:pPr>
              <w:adjustRightInd w:val="0"/>
              <w:snapToGrid w:val="0"/>
              <w:ind w:firstLine="480"/>
              <w:rPr>
                <w:color w:val="auto"/>
                <w:szCs w:val="24"/>
              </w:rPr>
            </w:pPr>
            <w:r>
              <w:rPr>
                <w:color w:val="auto"/>
                <w:szCs w:val="24"/>
              </w:rPr>
              <w:t>b.大气污染源监测</w:t>
            </w:r>
          </w:p>
          <w:p w14:paraId="03B623B3">
            <w:pPr>
              <w:adjustRightInd w:val="0"/>
              <w:snapToGrid w:val="0"/>
              <w:ind w:firstLine="480"/>
              <w:rPr>
                <w:color w:val="auto"/>
                <w:szCs w:val="24"/>
              </w:rPr>
            </w:pPr>
            <w:r>
              <w:rPr>
                <w:color w:val="auto"/>
                <w:szCs w:val="24"/>
              </w:rPr>
              <w:t>监测点布设：厂内、厂边界，下风向最近敏感点监测布点；</w:t>
            </w:r>
          </w:p>
          <w:p w14:paraId="7D8448BD">
            <w:pPr>
              <w:adjustRightInd w:val="0"/>
              <w:snapToGrid w:val="0"/>
              <w:ind w:firstLine="480"/>
              <w:rPr>
                <w:color w:val="auto"/>
                <w:szCs w:val="24"/>
              </w:rPr>
            </w:pPr>
            <w:r>
              <w:rPr>
                <w:color w:val="auto"/>
                <w:szCs w:val="24"/>
              </w:rPr>
              <w:t>监测项目：颗粒物、VOCs、SO</w:t>
            </w:r>
            <w:r>
              <w:rPr>
                <w:color w:val="auto"/>
                <w:szCs w:val="24"/>
                <w:vertAlign w:val="subscript"/>
              </w:rPr>
              <w:t>2</w:t>
            </w:r>
            <w:r>
              <w:rPr>
                <w:color w:val="auto"/>
                <w:szCs w:val="24"/>
              </w:rPr>
              <w:t>、NOx、CO等；特征污染物</w:t>
            </w:r>
            <w:r>
              <w:rPr>
                <w:rFonts w:hint="eastAsia"/>
                <w:color w:val="auto"/>
                <w:szCs w:val="24"/>
              </w:rPr>
              <w:t>（如苯乙烯、丙烯腈</w:t>
            </w:r>
            <w:r>
              <w:rPr>
                <w:rFonts w:hint="eastAsia"/>
                <w:color w:val="auto"/>
                <w:szCs w:val="24"/>
                <w:lang w:eastAsia="zh-CN"/>
              </w:rPr>
              <w:t>、</w:t>
            </w:r>
            <w:r>
              <w:rPr>
                <w:rFonts w:hint="eastAsia"/>
                <w:color w:val="auto"/>
                <w:szCs w:val="24"/>
              </w:rPr>
              <w:t>酚类）</w:t>
            </w:r>
            <w:r>
              <w:rPr>
                <w:color w:val="auto"/>
                <w:szCs w:val="24"/>
              </w:rPr>
              <w:t>根据发生事故时的实际情况确定。</w:t>
            </w:r>
          </w:p>
          <w:p w14:paraId="56E77C23">
            <w:pPr>
              <w:adjustRightInd w:val="0"/>
              <w:snapToGrid w:val="0"/>
              <w:ind w:firstLine="480"/>
              <w:rPr>
                <w:color w:val="auto"/>
                <w:szCs w:val="24"/>
              </w:rPr>
            </w:pPr>
            <w:r>
              <w:rPr>
                <w:color w:val="auto"/>
                <w:szCs w:val="24"/>
              </w:rPr>
              <w:t>监测频次：事故初期每1～2小时监测1次；确定特征污染物扩散趋势后，重点围绕敏感点每1～2小时监测1次；事故现场无明火、浓烟、异味，受影响人员无明显不良反应等情况时，每天监测1～3次，或根据应急组织指挥机构部署确定监测频次；各点位应同步开展监测。</w:t>
            </w:r>
          </w:p>
          <w:p w14:paraId="09921FC3">
            <w:pPr>
              <w:adjustRightInd w:val="0"/>
              <w:snapToGrid w:val="0"/>
              <w:ind w:firstLine="480"/>
              <w:rPr>
                <w:color w:val="auto"/>
                <w:szCs w:val="24"/>
              </w:rPr>
            </w:pPr>
            <w:r>
              <w:rPr>
                <w:color w:val="auto"/>
                <w:szCs w:val="24"/>
              </w:rPr>
              <w:t>监测采样及分析方法：《环境监测技术规范》、《空气和废气监测分析方法》。</w:t>
            </w:r>
          </w:p>
          <w:p w14:paraId="45D93589">
            <w:pPr>
              <w:adjustRightInd w:val="0"/>
              <w:snapToGrid w:val="0"/>
              <w:ind w:firstLine="480"/>
              <w:rPr>
                <w:color w:val="auto"/>
                <w:szCs w:val="24"/>
              </w:rPr>
            </w:pPr>
            <w:r>
              <w:rPr>
                <w:color w:val="auto"/>
                <w:szCs w:val="24"/>
              </w:rPr>
              <w:t>（7）制定和实施应急培训计划</w:t>
            </w:r>
          </w:p>
          <w:p w14:paraId="38E79D5D">
            <w:pPr>
              <w:adjustRightInd w:val="0"/>
              <w:snapToGrid w:val="0"/>
              <w:ind w:firstLine="480"/>
              <w:rPr>
                <w:color w:val="auto"/>
                <w:szCs w:val="24"/>
              </w:rPr>
            </w:pPr>
            <w:r>
              <w:rPr>
                <w:color w:val="auto"/>
                <w:szCs w:val="24"/>
              </w:rPr>
              <w:t>安环部门应定期组织开展全员安全教育和业务技术培训，掌握事故应急处理措施，并能及时正确进行事故应急处置。会正确使用各种灭火器材，发生事故及时报警。义务消防队员要经常开展业务技术训练和突发性事故应急救援训练。</w:t>
            </w:r>
          </w:p>
          <w:p w14:paraId="288CD566">
            <w:pPr>
              <w:adjustRightInd w:val="0"/>
              <w:snapToGrid w:val="0"/>
              <w:ind w:firstLine="480"/>
              <w:rPr>
                <w:color w:val="auto"/>
                <w:szCs w:val="24"/>
              </w:rPr>
            </w:pPr>
            <w:r>
              <w:rPr>
                <w:color w:val="auto"/>
                <w:szCs w:val="24"/>
              </w:rPr>
              <w:t>（8）与《江阴青阳镇突发环境事件应急预案》衔接</w:t>
            </w:r>
          </w:p>
          <w:p w14:paraId="3DE37103">
            <w:pPr>
              <w:adjustRightInd w:val="0"/>
              <w:snapToGrid w:val="0"/>
              <w:ind w:firstLine="480"/>
              <w:rPr>
                <w:color w:val="auto"/>
                <w:szCs w:val="24"/>
              </w:rPr>
            </w:pPr>
            <w:r>
              <w:rPr>
                <w:color w:val="auto"/>
                <w:szCs w:val="24"/>
              </w:rPr>
              <w:t>江阴青阳镇环境风险应急管理实行一、二、三级管理，以镇突发环境事件应急救援中心为核心，与江阴市应急救援中心（上级）和区内企业应急救援中心（下级）形成联动机制的三级应急救援管理体系。</w:t>
            </w:r>
          </w:p>
          <w:p w14:paraId="59735A74">
            <w:pPr>
              <w:adjustRightInd w:val="0"/>
              <w:snapToGrid w:val="0"/>
              <w:ind w:firstLine="480"/>
              <w:rPr>
                <w:color w:val="auto"/>
                <w:szCs w:val="24"/>
              </w:rPr>
            </w:pPr>
            <w:r>
              <w:rPr>
                <w:color w:val="auto"/>
                <w:szCs w:val="24"/>
              </w:rPr>
              <w:t>当发生一般污染事故，在污染事故现场处置妥当后，经应急指挥小组研究确定后，向青阳镇环保所有关部门报告处理结果。当发生较大或严重污染事故，应急指挥小组在接到事故报警后，及时向青阳镇应急处理指挥部报告，并请求支援；青阳镇应急处理指挥部进行紧急动员，适时启动区域的环境污染事故应急预案，迅速调集救援力量，指挥相关单位、相关职能部门，根据应急预案组成各个应急行动小组，按照各自的职责和现场救援具体方案开展抢险救援工作，厂内应急小组听从青阳镇现场指挥部的领导。现场指挥部同时将有关进展情况向江阴市应急处理指挥部汇报；污染事故基本控制稳定后，现场应急指挥部将根据专家意见，迅速调集后援力量展开事故处置工作。现场应急处理结束。</w:t>
            </w:r>
          </w:p>
          <w:p w14:paraId="3961F03A">
            <w:pPr>
              <w:adjustRightInd w:val="0"/>
              <w:snapToGrid w:val="0"/>
              <w:ind w:firstLine="480"/>
              <w:rPr>
                <w:color w:val="auto"/>
                <w:szCs w:val="24"/>
              </w:rPr>
            </w:pPr>
            <w:r>
              <w:rPr>
                <w:color w:val="auto"/>
                <w:szCs w:val="24"/>
              </w:rPr>
              <w:t>当污染事故又进一步扩大、发展趋势，或因事故衍生问题造成重大社会不稳定事态，现场应急指挥部将根据事态发展，及时调整应急响应级别，发布预警信息，同时向江阴市应急处理指挥部请求援助。</w:t>
            </w:r>
          </w:p>
          <w:p w14:paraId="7D49C3F9">
            <w:pPr>
              <w:pStyle w:val="13"/>
              <w:adjustRightInd w:val="0"/>
              <w:snapToGrid w:val="0"/>
              <w:spacing w:after="0"/>
              <w:ind w:left="0" w:leftChars="0" w:right="0" w:rightChars="0" w:firstLine="482"/>
              <w:rPr>
                <w:b/>
                <w:bCs/>
                <w:color w:val="auto"/>
                <w:szCs w:val="24"/>
              </w:rPr>
            </w:pPr>
            <w:r>
              <w:rPr>
                <w:b/>
                <w:bCs/>
                <w:color w:val="auto"/>
                <w:szCs w:val="24"/>
              </w:rPr>
              <w:t>8、电磁辐射</w:t>
            </w:r>
          </w:p>
          <w:p w14:paraId="11F01EAC">
            <w:pPr>
              <w:pStyle w:val="13"/>
              <w:adjustRightInd w:val="0"/>
              <w:snapToGrid w:val="0"/>
              <w:spacing w:after="0"/>
              <w:ind w:left="0" w:leftChars="0" w:right="0" w:rightChars="0" w:firstLine="480"/>
              <w:rPr>
                <w:color w:val="auto"/>
                <w:szCs w:val="24"/>
              </w:rPr>
            </w:pPr>
            <w:r>
              <w:rPr>
                <w:color w:val="auto"/>
                <w:szCs w:val="24"/>
              </w:rPr>
              <w:t>本项目不属于电磁辐射类项目，因此无需相应电磁辐射环保措施。</w:t>
            </w:r>
          </w:p>
          <w:p w14:paraId="43D55FA9">
            <w:pPr>
              <w:pStyle w:val="13"/>
              <w:adjustRightInd w:val="0"/>
              <w:snapToGrid w:val="0"/>
              <w:spacing w:after="0"/>
              <w:ind w:left="0" w:leftChars="0" w:right="0" w:rightChars="0" w:firstLine="482"/>
              <w:rPr>
                <w:b/>
                <w:bCs/>
                <w:color w:val="auto"/>
                <w:szCs w:val="24"/>
              </w:rPr>
            </w:pPr>
            <w:r>
              <w:rPr>
                <w:rFonts w:hint="eastAsia"/>
                <w:b/>
                <w:bCs/>
                <w:color w:val="auto"/>
                <w:szCs w:val="24"/>
              </w:rPr>
              <w:t>9、排污许可证</w:t>
            </w:r>
          </w:p>
          <w:p w14:paraId="41E9C373">
            <w:pPr>
              <w:pStyle w:val="13"/>
              <w:adjustRightInd w:val="0"/>
              <w:snapToGrid w:val="0"/>
              <w:spacing w:after="0"/>
              <w:ind w:left="0" w:leftChars="0" w:right="0" w:rightChars="0" w:firstLine="480"/>
              <w:rPr>
                <w:color w:val="auto"/>
                <w:szCs w:val="24"/>
                <w:lang w:eastAsia="zh-Hans"/>
              </w:rPr>
            </w:pPr>
            <w:r>
              <w:rPr>
                <w:rFonts w:hint="eastAsia"/>
                <w:color w:val="auto"/>
                <w:szCs w:val="24"/>
              </w:rPr>
              <w:t>根据《排污许可管理条例》（国务院令 第7</w:t>
            </w:r>
            <w:r>
              <w:rPr>
                <w:color w:val="auto"/>
                <w:szCs w:val="24"/>
              </w:rPr>
              <w:t>36</w:t>
            </w:r>
            <w:r>
              <w:rPr>
                <w:rFonts w:hint="eastAsia"/>
                <w:color w:val="auto"/>
                <w:szCs w:val="24"/>
              </w:rPr>
              <w:t>号）中第二条：“依照法律规定实行排污许可管理的企业事业单位和其他生产经营者（以下称排污单位），应当依照本条例规定申请取得排污许可证；未取得排污许可证的，不得排放污染物。”本项目建成后应</w:t>
            </w:r>
            <w:r>
              <w:rPr>
                <w:color w:val="auto"/>
                <w:szCs w:val="24"/>
              </w:rPr>
              <w:t>严格执行排污许可制度，根据《固定污染源排污许可分类管理名录》（2019年版），判断该项目属于“二十四，橡胶和塑料制品业”中“塑料零件及其他塑料制品制造2929”，产量未达到1万吨及以上，属于排污登记管理类别</w:t>
            </w:r>
            <w:r>
              <w:rPr>
                <w:color w:val="auto"/>
                <w:szCs w:val="24"/>
                <w:lang w:eastAsia="zh-Hans"/>
              </w:rPr>
              <w:t>。</w:t>
            </w:r>
          </w:p>
          <w:p w14:paraId="0784E3D4">
            <w:pPr>
              <w:pStyle w:val="13"/>
              <w:adjustRightInd w:val="0"/>
              <w:snapToGrid w:val="0"/>
              <w:spacing w:after="0"/>
              <w:ind w:left="0" w:leftChars="0" w:right="0" w:rightChars="0" w:firstLine="480"/>
              <w:rPr>
                <w:color w:val="auto"/>
                <w:szCs w:val="24"/>
                <w:lang w:eastAsia="zh-Hans"/>
              </w:rPr>
            </w:pPr>
          </w:p>
          <w:p w14:paraId="6F0D41F1">
            <w:pPr>
              <w:pStyle w:val="13"/>
              <w:adjustRightInd w:val="0"/>
              <w:snapToGrid w:val="0"/>
              <w:spacing w:after="0"/>
              <w:ind w:left="0" w:leftChars="0" w:right="0" w:rightChars="0" w:firstLine="480"/>
              <w:rPr>
                <w:color w:val="auto"/>
                <w:szCs w:val="24"/>
                <w:lang w:eastAsia="zh-Hans"/>
              </w:rPr>
            </w:pPr>
          </w:p>
          <w:p w14:paraId="7BD99BB2">
            <w:pPr>
              <w:pStyle w:val="13"/>
              <w:adjustRightInd w:val="0"/>
              <w:snapToGrid w:val="0"/>
              <w:spacing w:after="0"/>
              <w:ind w:left="0" w:leftChars="0" w:right="0" w:rightChars="0" w:firstLine="480"/>
              <w:rPr>
                <w:color w:val="auto"/>
                <w:szCs w:val="24"/>
                <w:lang w:eastAsia="zh-Hans"/>
              </w:rPr>
            </w:pPr>
          </w:p>
          <w:p w14:paraId="763FC69D">
            <w:pPr>
              <w:pStyle w:val="13"/>
              <w:adjustRightInd w:val="0"/>
              <w:snapToGrid w:val="0"/>
              <w:spacing w:after="0"/>
              <w:ind w:left="0" w:leftChars="0" w:right="0" w:rightChars="0" w:firstLine="480"/>
              <w:rPr>
                <w:color w:val="auto"/>
                <w:szCs w:val="24"/>
                <w:lang w:eastAsia="zh-Hans"/>
              </w:rPr>
            </w:pPr>
          </w:p>
          <w:p w14:paraId="43214316">
            <w:pPr>
              <w:pStyle w:val="13"/>
              <w:adjustRightInd w:val="0"/>
              <w:snapToGrid w:val="0"/>
              <w:spacing w:after="0"/>
              <w:ind w:left="0" w:leftChars="0" w:right="0" w:rightChars="0" w:firstLine="480"/>
              <w:rPr>
                <w:color w:val="auto"/>
                <w:szCs w:val="24"/>
                <w:lang w:eastAsia="zh-Hans"/>
              </w:rPr>
            </w:pPr>
          </w:p>
          <w:p w14:paraId="66D9D58A">
            <w:pPr>
              <w:pStyle w:val="13"/>
              <w:adjustRightInd w:val="0"/>
              <w:snapToGrid w:val="0"/>
              <w:spacing w:after="0"/>
              <w:ind w:left="0" w:leftChars="0" w:right="0" w:rightChars="0" w:firstLine="480"/>
              <w:rPr>
                <w:color w:val="auto"/>
                <w:szCs w:val="24"/>
                <w:lang w:eastAsia="zh-Hans"/>
              </w:rPr>
            </w:pPr>
          </w:p>
          <w:p w14:paraId="3F0221CC">
            <w:pPr>
              <w:pStyle w:val="13"/>
              <w:adjustRightInd w:val="0"/>
              <w:snapToGrid w:val="0"/>
              <w:spacing w:after="0"/>
              <w:ind w:left="0" w:leftChars="0" w:right="0" w:rightChars="0" w:firstLine="480"/>
              <w:rPr>
                <w:color w:val="auto"/>
                <w:szCs w:val="24"/>
                <w:lang w:eastAsia="zh-Hans"/>
              </w:rPr>
            </w:pPr>
          </w:p>
          <w:p w14:paraId="51FCD764">
            <w:pPr>
              <w:pStyle w:val="13"/>
              <w:adjustRightInd w:val="0"/>
              <w:snapToGrid w:val="0"/>
              <w:spacing w:after="0"/>
              <w:ind w:left="0" w:leftChars="0" w:right="0" w:rightChars="0" w:firstLine="480"/>
              <w:rPr>
                <w:color w:val="auto"/>
                <w:szCs w:val="24"/>
                <w:lang w:eastAsia="zh-Hans"/>
              </w:rPr>
            </w:pPr>
          </w:p>
          <w:p w14:paraId="298CED74">
            <w:pPr>
              <w:pStyle w:val="13"/>
              <w:adjustRightInd w:val="0"/>
              <w:snapToGrid w:val="0"/>
              <w:spacing w:after="0"/>
              <w:ind w:left="0" w:leftChars="0" w:right="0" w:rightChars="0" w:firstLine="480"/>
              <w:rPr>
                <w:color w:val="auto"/>
                <w:szCs w:val="24"/>
                <w:lang w:eastAsia="zh-Hans"/>
              </w:rPr>
            </w:pPr>
          </w:p>
          <w:p w14:paraId="742A306D">
            <w:pPr>
              <w:pStyle w:val="13"/>
              <w:adjustRightInd w:val="0"/>
              <w:snapToGrid w:val="0"/>
              <w:spacing w:after="0"/>
              <w:ind w:left="0" w:leftChars="0" w:right="0" w:rightChars="0" w:firstLine="480"/>
              <w:rPr>
                <w:color w:val="auto"/>
                <w:szCs w:val="24"/>
                <w:lang w:eastAsia="zh-Hans"/>
              </w:rPr>
            </w:pPr>
          </w:p>
        </w:tc>
      </w:tr>
    </w:tbl>
    <w:p w14:paraId="3C445701">
      <w:pPr>
        <w:pStyle w:val="3"/>
        <w:numPr>
          <w:ilvl w:val="0"/>
          <w:numId w:val="0"/>
        </w:numPr>
        <w:jc w:val="center"/>
        <w:rPr>
          <w:color w:val="auto"/>
        </w:rPr>
        <w:sectPr>
          <w:pgSz w:w="11906" w:h="16838"/>
          <w:pgMar w:top="1083" w:right="1800" w:bottom="1083" w:left="1800" w:header="851" w:footer="992" w:gutter="0"/>
          <w:cols w:space="720" w:num="1"/>
          <w:docGrid w:type="lines" w:linePitch="312" w:charSpace="0"/>
        </w:sectPr>
      </w:pPr>
    </w:p>
    <w:p w14:paraId="24CAA28C">
      <w:pPr>
        <w:pStyle w:val="21"/>
        <w:ind w:firstLine="600"/>
        <w:jc w:val="center"/>
        <w:outlineLvl w:val="0"/>
        <w:rPr>
          <w:rFonts w:ascii="Times New Roman" w:hAnsi="Times New Roman"/>
          <w:snapToGrid w:val="0"/>
          <w:color w:val="auto"/>
          <w:sz w:val="30"/>
          <w:szCs w:val="30"/>
        </w:rPr>
      </w:pPr>
      <w:r>
        <w:rPr>
          <w:rFonts w:ascii="Times New Roman" w:hAnsi="Times New Roman"/>
          <w:snapToGrid w:val="0"/>
          <w:color w:val="auto"/>
          <w:sz w:val="30"/>
          <w:szCs w:val="30"/>
        </w:rPr>
        <w:t>五、</w:t>
      </w:r>
      <w:bookmarkStart w:id="4" w:name="_Hlk54167917"/>
      <w:r>
        <w:rPr>
          <w:rFonts w:ascii="Times New Roman" w:hAnsi="Times New Roman"/>
          <w:snapToGrid w:val="0"/>
          <w:color w:val="auto"/>
          <w:sz w:val="30"/>
          <w:szCs w:val="30"/>
        </w:rPr>
        <w:t>环境保护措施监督检查清单</w:t>
      </w:r>
      <w:bookmarkEnd w:id="4"/>
    </w:p>
    <w:tbl>
      <w:tblPr>
        <w:tblStyle w:val="28"/>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005"/>
        <w:gridCol w:w="1459"/>
        <w:gridCol w:w="1068"/>
        <w:gridCol w:w="2373"/>
        <w:gridCol w:w="2089"/>
      </w:tblGrid>
      <w:tr w14:paraId="65166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Borders>
              <w:tl2br w:val="single" w:color="auto" w:sz="4" w:space="0"/>
            </w:tcBorders>
          </w:tcPr>
          <w:p w14:paraId="7F66294B">
            <w:pPr>
              <w:adjustRightInd w:val="0"/>
              <w:snapToGrid w:val="0"/>
              <w:spacing w:line="240" w:lineRule="auto"/>
              <w:ind w:firstLine="480"/>
              <w:rPr>
                <w:rFonts w:ascii="Times New Roman" w:hAnsi="Times New Roman" w:cs="Times New Roman"/>
                <w:color w:val="auto"/>
                <w:szCs w:val="24"/>
              </w:rPr>
            </w:pPr>
            <w:r>
              <w:rPr>
                <w:rFonts w:ascii="Times New Roman" w:hAnsi="Times New Roman" w:cs="Times New Roman"/>
                <w:color w:val="auto"/>
                <w:szCs w:val="24"/>
              </w:rPr>
              <w:t>内容</w:t>
            </w:r>
          </w:p>
          <w:p w14:paraId="3387B2C0">
            <w:pPr>
              <w:adjustRightInd w:val="0"/>
              <w:snapToGrid w:val="0"/>
              <w:spacing w:line="240" w:lineRule="auto"/>
              <w:ind w:firstLine="0" w:firstLineChars="0"/>
              <w:rPr>
                <w:rFonts w:ascii="Times New Roman" w:hAnsi="Times New Roman" w:cs="Times New Roman"/>
                <w:color w:val="auto"/>
                <w:szCs w:val="24"/>
              </w:rPr>
            </w:pPr>
          </w:p>
          <w:p w14:paraId="0326A7C8">
            <w:pPr>
              <w:adjustRightInd w:val="0"/>
              <w:snapToGrid w:val="0"/>
              <w:spacing w:line="240" w:lineRule="auto"/>
              <w:ind w:firstLine="0" w:firstLineChars="0"/>
              <w:rPr>
                <w:rFonts w:ascii="Times New Roman" w:hAnsi="Times New Roman" w:cs="Times New Roman"/>
                <w:color w:val="auto"/>
                <w:szCs w:val="24"/>
              </w:rPr>
            </w:pPr>
          </w:p>
          <w:p w14:paraId="1B6A63DB">
            <w:pPr>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要素</w:t>
            </w:r>
          </w:p>
        </w:tc>
        <w:tc>
          <w:tcPr>
            <w:tcW w:w="1005" w:type="dxa"/>
            <w:vAlign w:val="center"/>
          </w:tcPr>
          <w:p w14:paraId="5B7C51E8">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排放口(编号、名称)/污染源</w:t>
            </w:r>
          </w:p>
        </w:tc>
        <w:tc>
          <w:tcPr>
            <w:tcW w:w="1459" w:type="dxa"/>
            <w:vAlign w:val="center"/>
          </w:tcPr>
          <w:p w14:paraId="515A7D56">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污染物项目</w:t>
            </w:r>
          </w:p>
        </w:tc>
        <w:tc>
          <w:tcPr>
            <w:tcW w:w="1068" w:type="dxa"/>
            <w:vAlign w:val="center"/>
          </w:tcPr>
          <w:p w14:paraId="446F771A">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环境保护措施</w:t>
            </w:r>
          </w:p>
        </w:tc>
        <w:tc>
          <w:tcPr>
            <w:tcW w:w="4462" w:type="dxa"/>
            <w:gridSpan w:val="2"/>
            <w:vAlign w:val="center"/>
          </w:tcPr>
          <w:p w14:paraId="4CB4C469">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执行标准</w:t>
            </w:r>
          </w:p>
        </w:tc>
      </w:tr>
      <w:tr w14:paraId="7D4F1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restart"/>
            <w:vAlign w:val="center"/>
          </w:tcPr>
          <w:p w14:paraId="24B63712">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大气环境</w:t>
            </w:r>
          </w:p>
        </w:tc>
        <w:tc>
          <w:tcPr>
            <w:tcW w:w="1005" w:type="dxa"/>
            <w:vMerge w:val="restart"/>
            <w:vAlign w:val="center"/>
          </w:tcPr>
          <w:p w14:paraId="7B1BA0E5">
            <w:pPr>
              <w:wordWrap w:val="0"/>
              <w:adjustRightInd w:val="0"/>
              <w:snapToGrid w:val="0"/>
              <w:spacing w:line="240" w:lineRule="auto"/>
              <w:ind w:firstLine="0" w:firstLineChars="0"/>
              <w:jc w:val="center"/>
              <w:rPr>
                <w:rFonts w:ascii="Times New Roman" w:hAnsi="Times New Roman" w:cs="Times New Roman"/>
                <w:color w:val="auto"/>
                <w:szCs w:val="24"/>
              </w:rPr>
            </w:pPr>
            <w:r>
              <w:rPr>
                <w:rFonts w:hint="eastAsia" w:ascii="Times New Roman" w:hAnsi="Times New Roman" w:cs="Times New Roman"/>
                <w:color w:val="auto"/>
                <w:szCs w:val="24"/>
              </w:rPr>
              <w:t>DA001</w:t>
            </w:r>
            <w:r>
              <w:rPr>
                <w:rFonts w:ascii="Times New Roman" w:hAnsi="Times New Roman" w:cs="Times New Roman"/>
                <w:color w:val="auto"/>
                <w:szCs w:val="24"/>
              </w:rPr>
              <w:t>/废气排放口</w:t>
            </w:r>
          </w:p>
        </w:tc>
        <w:tc>
          <w:tcPr>
            <w:tcW w:w="1459" w:type="dxa"/>
            <w:vAlign w:val="center"/>
          </w:tcPr>
          <w:p w14:paraId="1191C6FC">
            <w:pPr>
              <w:widowControl/>
              <w:adjustRightInd w:val="0"/>
              <w:snapToGrid w:val="0"/>
              <w:spacing w:line="240" w:lineRule="auto"/>
              <w:ind w:firstLine="0" w:firstLineChars="0"/>
              <w:jc w:val="center"/>
              <w:rPr>
                <w:rFonts w:ascii="Times New Roman" w:hAnsi="Times New Roman" w:eastAsia="宋体" w:cs="Times New Roman"/>
                <w:b w:val="0"/>
                <w:bCs w:val="0"/>
                <w:color w:val="auto"/>
                <w:kern w:val="2"/>
                <w:sz w:val="24"/>
                <w:szCs w:val="24"/>
                <w:lang w:val="en-US" w:eastAsia="zh-CN" w:bidi="ar-SA"/>
              </w:rPr>
            </w:pPr>
            <w:r>
              <w:rPr>
                <w:rFonts w:ascii="Times New Roman" w:hAnsi="Times New Roman" w:eastAsia="宋体" w:cs="Times New Roman"/>
                <w:b w:val="0"/>
                <w:bCs w:val="0"/>
                <w:color w:val="auto"/>
                <w:kern w:val="2"/>
                <w:sz w:val="24"/>
                <w:szCs w:val="24"/>
                <w:lang w:val="en-US" w:eastAsia="zh-CN" w:bidi="ar-SA"/>
              </w:rPr>
              <w:t>非甲烷总烃</w:t>
            </w:r>
          </w:p>
        </w:tc>
        <w:tc>
          <w:tcPr>
            <w:tcW w:w="1068" w:type="dxa"/>
            <w:vMerge w:val="restart"/>
            <w:vAlign w:val="center"/>
          </w:tcPr>
          <w:p w14:paraId="1F2C928A">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二级活性炭吸附装置</w:t>
            </w:r>
          </w:p>
        </w:tc>
        <w:tc>
          <w:tcPr>
            <w:tcW w:w="2373" w:type="dxa"/>
            <w:vAlign w:val="center"/>
          </w:tcPr>
          <w:p w14:paraId="49D9B4A0">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排放浓度≤60mg/m</w:t>
            </w:r>
            <w:r>
              <w:rPr>
                <w:rFonts w:ascii="Times New Roman" w:hAnsi="Times New Roman" w:cs="Times New Roman"/>
                <w:color w:val="auto"/>
                <w:szCs w:val="24"/>
                <w:vertAlign w:val="superscript"/>
              </w:rPr>
              <w:t>3</w:t>
            </w:r>
          </w:p>
        </w:tc>
        <w:tc>
          <w:tcPr>
            <w:tcW w:w="2089" w:type="dxa"/>
            <w:vMerge w:val="restart"/>
            <w:vAlign w:val="center"/>
          </w:tcPr>
          <w:p w14:paraId="71DFA40E">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《合成树脂工业污染物排放标准》（GB31572-2015）中表5标准</w:t>
            </w:r>
          </w:p>
        </w:tc>
      </w:tr>
      <w:tr w14:paraId="5B4C0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14:paraId="48F7F08F">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29EC7947">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6C7D66AB">
            <w:pPr>
              <w:widowControl w:val="0"/>
              <w:snapToGrid w:val="0"/>
              <w:spacing w:line="240" w:lineRule="auto"/>
              <w:ind w:firstLine="0" w:firstLineChars="0"/>
              <w:jc w:val="center"/>
              <w:rPr>
                <w:rFonts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24"/>
                <w:lang w:val="en-US" w:eastAsia="zh-CN" w:bidi="ar-SA"/>
              </w:rPr>
              <w:t>酚类</w:t>
            </w:r>
          </w:p>
        </w:tc>
        <w:tc>
          <w:tcPr>
            <w:tcW w:w="1068" w:type="dxa"/>
            <w:vMerge w:val="continue"/>
            <w:vAlign w:val="center"/>
          </w:tcPr>
          <w:p w14:paraId="5121A72E">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1D1F20D4">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w:t>
            </w:r>
            <w:r>
              <w:rPr>
                <w:rFonts w:hint="eastAsia" w:ascii="Times New Roman" w:hAnsi="Times New Roman" w:cs="Times New Roman"/>
                <w:color w:val="auto"/>
                <w:szCs w:val="24"/>
              </w:rPr>
              <w:t>15</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2E0D2F13">
            <w:pPr>
              <w:wordWrap w:val="0"/>
              <w:adjustRightInd w:val="0"/>
              <w:snapToGrid w:val="0"/>
              <w:spacing w:line="240" w:lineRule="auto"/>
              <w:ind w:firstLine="0" w:firstLineChars="0"/>
              <w:jc w:val="center"/>
              <w:rPr>
                <w:rFonts w:ascii="Times New Roman" w:hAnsi="Times New Roman" w:cs="Times New Roman"/>
                <w:color w:val="auto"/>
                <w:kern w:val="0"/>
                <w:szCs w:val="24"/>
              </w:rPr>
            </w:pPr>
          </w:p>
        </w:tc>
      </w:tr>
      <w:tr w14:paraId="0D638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14:paraId="43242AD6">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291E107E">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00D76F0E">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丙烯腈</w:t>
            </w:r>
          </w:p>
        </w:tc>
        <w:tc>
          <w:tcPr>
            <w:tcW w:w="1068" w:type="dxa"/>
            <w:vMerge w:val="continue"/>
            <w:vAlign w:val="center"/>
          </w:tcPr>
          <w:p w14:paraId="10BBA3F6">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3462AF92">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排放浓度≤0.5mg/m</w:t>
            </w:r>
            <w:r>
              <w:rPr>
                <w:rFonts w:ascii="Times New Roman" w:hAnsi="Times New Roman" w:cs="Times New Roman"/>
                <w:color w:val="auto"/>
                <w:szCs w:val="24"/>
                <w:vertAlign w:val="superscript"/>
              </w:rPr>
              <w:t>3</w:t>
            </w:r>
          </w:p>
        </w:tc>
        <w:tc>
          <w:tcPr>
            <w:tcW w:w="2089" w:type="dxa"/>
            <w:vMerge w:val="continue"/>
            <w:vAlign w:val="center"/>
          </w:tcPr>
          <w:p w14:paraId="6D4D14B3">
            <w:pPr>
              <w:wordWrap w:val="0"/>
              <w:adjustRightInd w:val="0"/>
              <w:snapToGrid w:val="0"/>
              <w:spacing w:line="240" w:lineRule="auto"/>
              <w:ind w:firstLine="0" w:firstLineChars="0"/>
              <w:jc w:val="center"/>
              <w:rPr>
                <w:rFonts w:ascii="Times New Roman" w:hAnsi="Times New Roman" w:cs="Times New Roman"/>
                <w:color w:val="auto"/>
                <w:szCs w:val="24"/>
              </w:rPr>
            </w:pPr>
          </w:p>
        </w:tc>
      </w:tr>
      <w:tr w14:paraId="27519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14:paraId="41E17548">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7631378D">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62827319">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苯乙烯</w:t>
            </w:r>
          </w:p>
        </w:tc>
        <w:tc>
          <w:tcPr>
            <w:tcW w:w="1068" w:type="dxa"/>
            <w:vMerge w:val="continue"/>
            <w:vAlign w:val="center"/>
          </w:tcPr>
          <w:p w14:paraId="58115C5E">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795F608B">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排放浓度≤20mg/m</w:t>
            </w:r>
            <w:r>
              <w:rPr>
                <w:rFonts w:ascii="Times New Roman" w:hAnsi="Times New Roman" w:cs="Times New Roman"/>
                <w:color w:val="auto"/>
                <w:szCs w:val="24"/>
                <w:vertAlign w:val="superscript"/>
              </w:rPr>
              <w:t>3</w:t>
            </w:r>
          </w:p>
        </w:tc>
        <w:tc>
          <w:tcPr>
            <w:tcW w:w="2089" w:type="dxa"/>
            <w:vMerge w:val="continue"/>
            <w:vAlign w:val="center"/>
          </w:tcPr>
          <w:p w14:paraId="19420995">
            <w:pPr>
              <w:wordWrap w:val="0"/>
              <w:adjustRightInd w:val="0"/>
              <w:snapToGrid w:val="0"/>
              <w:spacing w:line="240" w:lineRule="auto"/>
              <w:ind w:firstLine="0" w:firstLineChars="0"/>
              <w:jc w:val="center"/>
              <w:rPr>
                <w:rFonts w:ascii="Times New Roman" w:hAnsi="Times New Roman" w:cs="Times New Roman"/>
                <w:color w:val="auto"/>
                <w:szCs w:val="24"/>
              </w:rPr>
            </w:pPr>
          </w:p>
        </w:tc>
      </w:tr>
      <w:tr w14:paraId="4611E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14:paraId="36A6A5B7">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257DC9BC">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01BF72C3">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甲苯</w:t>
            </w:r>
          </w:p>
        </w:tc>
        <w:tc>
          <w:tcPr>
            <w:tcW w:w="1068" w:type="dxa"/>
            <w:vMerge w:val="continue"/>
            <w:vAlign w:val="center"/>
          </w:tcPr>
          <w:p w14:paraId="0478DC05">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605A4397">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w:t>
            </w:r>
            <w:r>
              <w:rPr>
                <w:rFonts w:hint="eastAsia" w:ascii="Times New Roman" w:hAnsi="Times New Roman" w:cs="Times New Roman"/>
                <w:color w:val="auto"/>
                <w:szCs w:val="24"/>
              </w:rPr>
              <w:t>8</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3F6F88E3">
            <w:pPr>
              <w:wordWrap w:val="0"/>
              <w:adjustRightInd w:val="0"/>
              <w:snapToGrid w:val="0"/>
              <w:spacing w:line="240" w:lineRule="auto"/>
              <w:ind w:firstLine="0" w:firstLineChars="0"/>
              <w:jc w:val="center"/>
              <w:rPr>
                <w:rFonts w:ascii="Times New Roman" w:hAnsi="Times New Roman" w:cs="Times New Roman"/>
                <w:color w:val="auto"/>
                <w:szCs w:val="24"/>
              </w:rPr>
            </w:pPr>
          </w:p>
        </w:tc>
      </w:tr>
      <w:tr w14:paraId="4A91F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14:paraId="0DB3134C">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6D58CDDA">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04D37AFF">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乙苯</w:t>
            </w:r>
          </w:p>
        </w:tc>
        <w:tc>
          <w:tcPr>
            <w:tcW w:w="1068" w:type="dxa"/>
            <w:vMerge w:val="continue"/>
            <w:vAlign w:val="center"/>
          </w:tcPr>
          <w:p w14:paraId="5AEEB477">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0B7FB6A1">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w:t>
            </w:r>
            <w:r>
              <w:rPr>
                <w:rFonts w:hint="eastAsia" w:ascii="Times New Roman" w:hAnsi="Times New Roman" w:cs="Times New Roman"/>
                <w:color w:val="auto"/>
                <w:szCs w:val="24"/>
              </w:rPr>
              <w:t>50</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5685C384">
            <w:pPr>
              <w:wordWrap w:val="0"/>
              <w:adjustRightInd w:val="0"/>
              <w:snapToGrid w:val="0"/>
              <w:spacing w:line="240" w:lineRule="auto"/>
              <w:ind w:firstLine="0" w:firstLineChars="0"/>
              <w:jc w:val="center"/>
              <w:rPr>
                <w:rFonts w:ascii="Times New Roman" w:hAnsi="Times New Roman" w:cs="Times New Roman"/>
                <w:color w:val="auto"/>
                <w:szCs w:val="24"/>
              </w:rPr>
            </w:pPr>
          </w:p>
        </w:tc>
      </w:tr>
      <w:tr w14:paraId="300ED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14:paraId="5CF4BEBC">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577FEF23">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5AF85796">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臭气浓度</w:t>
            </w:r>
          </w:p>
        </w:tc>
        <w:tc>
          <w:tcPr>
            <w:tcW w:w="1068" w:type="dxa"/>
            <w:vMerge w:val="continue"/>
            <w:vAlign w:val="center"/>
          </w:tcPr>
          <w:p w14:paraId="213EF030">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224D76AC">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排放浓度≤</w:t>
            </w:r>
            <w:r>
              <w:rPr>
                <w:rFonts w:hint="eastAsia" w:ascii="Times New Roman" w:hAnsi="Times New Roman" w:cs="Times New Roman"/>
                <w:color w:val="auto"/>
                <w:szCs w:val="24"/>
                <w:lang w:val="en-US" w:eastAsia="zh-CN"/>
              </w:rPr>
              <w:t>6</w:t>
            </w:r>
            <w:r>
              <w:rPr>
                <w:rFonts w:ascii="Times New Roman" w:hAnsi="Times New Roman" w:cs="Times New Roman"/>
                <w:color w:val="auto"/>
                <w:szCs w:val="24"/>
              </w:rPr>
              <w:t>000（无量纲）</w:t>
            </w:r>
          </w:p>
        </w:tc>
        <w:tc>
          <w:tcPr>
            <w:tcW w:w="2089" w:type="dxa"/>
            <w:vAlign w:val="center"/>
          </w:tcPr>
          <w:p w14:paraId="57A351CC">
            <w:pPr>
              <w:wordWrap w:val="0"/>
              <w:adjustRightInd w:val="0"/>
              <w:snapToGrid w:val="0"/>
              <w:spacing w:line="240" w:lineRule="auto"/>
              <w:ind w:firstLine="0" w:firstLineChars="0"/>
              <w:jc w:val="center"/>
              <w:rPr>
                <w:rFonts w:ascii="Times New Roman" w:hAnsi="Times New Roman" w:cs="Times New Roman"/>
                <w:color w:val="auto"/>
                <w:kern w:val="0"/>
                <w:szCs w:val="24"/>
              </w:rPr>
            </w:pPr>
            <w:r>
              <w:rPr>
                <w:rFonts w:ascii="Times New Roman" w:hAnsi="Times New Roman" w:cs="Times New Roman"/>
                <w:color w:val="auto"/>
                <w:kern w:val="0"/>
                <w:szCs w:val="24"/>
              </w:rPr>
              <w:t>《恶臭污染物排放标准》（GB14554-93）表2标准</w:t>
            </w:r>
          </w:p>
        </w:tc>
      </w:tr>
      <w:tr w14:paraId="2FA8C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210" w:type="dxa"/>
            <w:vMerge w:val="continue"/>
            <w:vAlign w:val="center"/>
          </w:tcPr>
          <w:p w14:paraId="1734DC62">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restart"/>
            <w:vAlign w:val="center"/>
          </w:tcPr>
          <w:p w14:paraId="2B4F2789">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无组织废气</w:t>
            </w:r>
          </w:p>
        </w:tc>
        <w:tc>
          <w:tcPr>
            <w:tcW w:w="1459" w:type="dxa"/>
            <w:vAlign w:val="center"/>
          </w:tcPr>
          <w:p w14:paraId="118F123F">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非甲烷总烃</w:t>
            </w:r>
          </w:p>
        </w:tc>
        <w:tc>
          <w:tcPr>
            <w:tcW w:w="1068" w:type="dxa"/>
            <w:vMerge w:val="restart"/>
            <w:vAlign w:val="center"/>
          </w:tcPr>
          <w:p w14:paraId="3E1EA8E3">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加强车间通风，便于扩散</w:t>
            </w:r>
          </w:p>
        </w:tc>
        <w:tc>
          <w:tcPr>
            <w:tcW w:w="2373" w:type="dxa"/>
            <w:vAlign w:val="center"/>
          </w:tcPr>
          <w:p w14:paraId="0EA8F7A9">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无组织排放监控</w:t>
            </w:r>
          </w:p>
          <w:p w14:paraId="745775DB">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浓度限值≤4mg/m</w:t>
            </w:r>
            <w:r>
              <w:rPr>
                <w:rFonts w:ascii="Times New Roman" w:hAnsi="Times New Roman" w:cs="Times New Roman"/>
                <w:color w:val="auto"/>
                <w:szCs w:val="24"/>
                <w:vertAlign w:val="superscript"/>
              </w:rPr>
              <w:t>3</w:t>
            </w:r>
          </w:p>
        </w:tc>
        <w:tc>
          <w:tcPr>
            <w:tcW w:w="2089" w:type="dxa"/>
            <w:vMerge w:val="restart"/>
            <w:vAlign w:val="center"/>
          </w:tcPr>
          <w:p w14:paraId="06B8658D">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《合成树脂工业污染物排放标准》（GB31572-2015）表9标准</w:t>
            </w:r>
          </w:p>
        </w:tc>
      </w:tr>
      <w:tr w14:paraId="0E88F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210" w:type="dxa"/>
            <w:vMerge w:val="continue"/>
            <w:vAlign w:val="center"/>
          </w:tcPr>
          <w:p w14:paraId="6108872F">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0283EE05">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77B6EB8C">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颗粒物</w:t>
            </w:r>
          </w:p>
        </w:tc>
        <w:tc>
          <w:tcPr>
            <w:tcW w:w="1068" w:type="dxa"/>
            <w:vMerge w:val="continue"/>
            <w:vAlign w:val="center"/>
          </w:tcPr>
          <w:p w14:paraId="4863E6B4">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7AC1B1AD">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无组织排放监控</w:t>
            </w:r>
          </w:p>
          <w:p w14:paraId="6928AD92">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w:t>
            </w:r>
            <w:r>
              <w:rPr>
                <w:rFonts w:hint="eastAsia" w:ascii="Times New Roman" w:hAnsi="Times New Roman" w:cs="Times New Roman"/>
                <w:color w:val="auto"/>
                <w:szCs w:val="24"/>
              </w:rPr>
              <w:t>1.0</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0E6FBF09">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p>
        </w:tc>
      </w:tr>
      <w:tr w14:paraId="63346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0" w:type="dxa"/>
            <w:vMerge w:val="continue"/>
            <w:vAlign w:val="center"/>
          </w:tcPr>
          <w:p w14:paraId="2546E0F4">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6F2E14F4">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5C21D4C3">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丙烯腈</w:t>
            </w:r>
          </w:p>
        </w:tc>
        <w:tc>
          <w:tcPr>
            <w:tcW w:w="1068" w:type="dxa"/>
            <w:vMerge w:val="continue"/>
            <w:vAlign w:val="center"/>
          </w:tcPr>
          <w:p w14:paraId="4704C48B">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73248FC6">
            <w:pPr>
              <w:widowControl/>
              <w:adjustRightInd w:val="0"/>
              <w:snapToGrid w:val="0"/>
              <w:spacing w:line="240" w:lineRule="auto"/>
              <w:ind w:firstLine="0" w:firstLineChars="0"/>
              <w:jc w:val="center"/>
              <w:rPr>
                <w:rFonts w:ascii="Times New Roman" w:hAnsi="Times New Roman" w:eastAsia="宋体" w:cs="Times New Roman"/>
                <w:b w:val="0"/>
                <w:bCs w:val="0"/>
                <w:color w:val="auto"/>
                <w:kern w:val="2"/>
                <w:sz w:val="24"/>
                <w:szCs w:val="24"/>
                <w:lang w:val="en-US" w:eastAsia="zh-CN" w:bidi="ar-SA"/>
              </w:rPr>
            </w:pPr>
            <w:r>
              <w:rPr>
                <w:rFonts w:ascii="Times New Roman" w:hAnsi="Times New Roman" w:eastAsia="宋体" w:cs="Times New Roman"/>
                <w:b w:val="0"/>
                <w:bCs w:val="0"/>
                <w:color w:val="auto"/>
                <w:kern w:val="2"/>
                <w:sz w:val="24"/>
                <w:szCs w:val="24"/>
                <w:lang w:val="en-US" w:eastAsia="zh-CN" w:bidi="ar-SA"/>
              </w:rPr>
              <w:t>无组织排放监控</w:t>
            </w:r>
          </w:p>
          <w:p w14:paraId="68A2CDF9">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浓度限值≤0.15mg/m</w:t>
            </w:r>
            <w:r>
              <w:rPr>
                <w:rFonts w:ascii="Times New Roman" w:hAnsi="Times New Roman" w:cs="Times New Roman"/>
                <w:color w:val="auto"/>
                <w:szCs w:val="24"/>
                <w:vertAlign w:val="superscript"/>
              </w:rPr>
              <w:t>3</w:t>
            </w:r>
          </w:p>
        </w:tc>
        <w:tc>
          <w:tcPr>
            <w:tcW w:w="2089" w:type="dxa"/>
            <w:vMerge w:val="restart"/>
            <w:vAlign w:val="center"/>
          </w:tcPr>
          <w:p w14:paraId="33076F25">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《大气污染物综合排放标准》（DB32/4041-2021）表3标准</w:t>
            </w:r>
          </w:p>
        </w:tc>
      </w:tr>
      <w:tr w14:paraId="0F689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0" w:type="dxa"/>
            <w:vMerge w:val="continue"/>
            <w:vAlign w:val="center"/>
          </w:tcPr>
          <w:p w14:paraId="6E929366">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607B8C61">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641D229C">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酚类</w:t>
            </w:r>
          </w:p>
        </w:tc>
        <w:tc>
          <w:tcPr>
            <w:tcW w:w="1068" w:type="dxa"/>
            <w:vMerge w:val="continue"/>
            <w:vAlign w:val="center"/>
          </w:tcPr>
          <w:p w14:paraId="12D25716">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443BBAC3">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无组织排放监控</w:t>
            </w:r>
          </w:p>
          <w:p w14:paraId="1EAFBA22">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浓度限值≤0.</w:t>
            </w:r>
            <w:r>
              <w:rPr>
                <w:rFonts w:hint="eastAsia" w:ascii="Times New Roman" w:hAnsi="Times New Roman" w:cs="Times New Roman"/>
                <w:color w:val="auto"/>
                <w:szCs w:val="24"/>
              </w:rPr>
              <w:t>02</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429A3B54">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p>
        </w:tc>
      </w:tr>
      <w:tr w14:paraId="6B0F1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vAlign w:val="center"/>
          </w:tcPr>
          <w:p w14:paraId="692548DF">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1E961CD5">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7DA6E047">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甲苯</w:t>
            </w:r>
          </w:p>
        </w:tc>
        <w:tc>
          <w:tcPr>
            <w:tcW w:w="1068" w:type="dxa"/>
            <w:vMerge w:val="continue"/>
            <w:vAlign w:val="center"/>
          </w:tcPr>
          <w:p w14:paraId="2DAA91C2">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55AC24D0">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无组织排放监控</w:t>
            </w:r>
          </w:p>
          <w:p w14:paraId="780F2E97">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浓度限值≤0.</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4CA13C7A">
            <w:pPr>
              <w:widowControl w:val="0"/>
              <w:snapToGrid w:val="0"/>
              <w:spacing w:line="240" w:lineRule="auto"/>
              <w:ind w:firstLine="0" w:firstLineChars="0"/>
              <w:jc w:val="center"/>
              <w:rPr>
                <w:rFonts w:ascii="Times New Roman" w:hAnsi="Times New Roman" w:eastAsia="宋体" w:cs="Times New Roman"/>
                <w:color w:val="auto"/>
                <w:kern w:val="0"/>
                <w:sz w:val="24"/>
                <w:szCs w:val="24"/>
                <w:lang w:val="en-US" w:eastAsia="zh-CN" w:bidi="ar-SA"/>
              </w:rPr>
            </w:pPr>
          </w:p>
        </w:tc>
      </w:tr>
      <w:tr w14:paraId="74D85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36A06146">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1C121CBB">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5512E76A">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苯乙烯</w:t>
            </w:r>
            <w:r>
              <w:rPr>
                <w:rFonts w:hint="eastAsia" w:ascii="Times New Roman" w:hAnsi="Times New Roman" w:eastAsia="宋体" w:cs="Times New Roman"/>
                <w:color w:val="auto"/>
                <w:kern w:val="2"/>
                <w:sz w:val="24"/>
                <w:szCs w:val="24"/>
                <w:lang w:val="en-US" w:eastAsia="zh-CN" w:bidi="ar-SA"/>
              </w:rPr>
              <w:t>、乙苯</w:t>
            </w:r>
          </w:p>
        </w:tc>
        <w:tc>
          <w:tcPr>
            <w:tcW w:w="1068" w:type="dxa"/>
            <w:vMerge w:val="continue"/>
            <w:vAlign w:val="center"/>
          </w:tcPr>
          <w:p w14:paraId="6C2A2807">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4E9025E6">
            <w:pPr>
              <w:widowControl/>
              <w:adjustRightInd w:val="0"/>
              <w:snapToGrid w:val="0"/>
              <w:spacing w:line="240" w:lineRule="auto"/>
              <w:ind w:firstLine="0" w:firstLineChars="0"/>
              <w:jc w:val="center"/>
              <w:rPr>
                <w:rFonts w:ascii="Times New Roman" w:hAnsi="Times New Roman" w:eastAsia="宋体" w:cs="Times New Roman"/>
                <w:b w:val="0"/>
                <w:bCs w:val="0"/>
                <w:color w:val="auto"/>
                <w:kern w:val="2"/>
                <w:sz w:val="24"/>
                <w:szCs w:val="24"/>
                <w:lang w:val="en-US" w:eastAsia="zh-CN" w:bidi="ar-SA"/>
              </w:rPr>
            </w:pPr>
            <w:r>
              <w:rPr>
                <w:rFonts w:ascii="Times New Roman" w:hAnsi="Times New Roman" w:eastAsia="宋体" w:cs="Times New Roman"/>
                <w:b w:val="0"/>
                <w:bCs w:val="0"/>
                <w:color w:val="auto"/>
                <w:kern w:val="2"/>
                <w:sz w:val="24"/>
                <w:szCs w:val="24"/>
                <w:lang w:val="en-US" w:eastAsia="zh-CN" w:bidi="ar-SA"/>
              </w:rPr>
              <w:t>无组织排放监控</w:t>
            </w:r>
          </w:p>
          <w:p w14:paraId="2004B22B">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w:t>
            </w:r>
            <w:r>
              <w:rPr>
                <w:rFonts w:hint="eastAsia" w:ascii="Times New Roman" w:hAnsi="Times New Roman" w:cs="Times New Roman"/>
                <w:color w:val="auto"/>
                <w:szCs w:val="24"/>
              </w:rPr>
              <w:t>0.4</w:t>
            </w:r>
            <w:r>
              <w:rPr>
                <w:rFonts w:ascii="Times New Roman" w:hAnsi="Times New Roman" w:cs="Times New Roman"/>
                <w:color w:val="auto"/>
                <w:szCs w:val="24"/>
              </w:rPr>
              <w:t>mg/m</w:t>
            </w:r>
            <w:r>
              <w:rPr>
                <w:rFonts w:ascii="Times New Roman" w:hAnsi="Times New Roman" w:cs="Times New Roman"/>
                <w:color w:val="auto"/>
                <w:szCs w:val="24"/>
                <w:vertAlign w:val="superscript"/>
              </w:rPr>
              <w:t>3</w:t>
            </w:r>
          </w:p>
        </w:tc>
        <w:tc>
          <w:tcPr>
            <w:tcW w:w="2089" w:type="dxa"/>
            <w:vMerge w:val="continue"/>
            <w:vAlign w:val="center"/>
          </w:tcPr>
          <w:p w14:paraId="42F1AB2A">
            <w:pPr>
              <w:widowControl w:val="0"/>
              <w:snapToGrid w:val="0"/>
              <w:spacing w:line="240" w:lineRule="auto"/>
              <w:ind w:firstLine="0" w:firstLineChars="0"/>
              <w:jc w:val="center"/>
              <w:rPr>
                <w:rFonts w:ascii="Times New Roman" w:hAnsi="Times New Roman" w:eastAsia="宋体" w:cs="Times New Roman"/>
                <w:color w:val="auto"/>
                <w:kern w:val="0"/>
                <w:sz w:val="24"/>
                <w:szCs w:val="24"/>
                <w:lang w:val="en-US" w:eastAsia="zh-CN" w:bidi="ar-SA"/>
              </w:rPr>
            </w:pPr>
          </w:p>
        </w:tc>
      </w:tr>
      <w:tr w14:paraId="0B5CA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59F8A972">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42739D30">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18B87160">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臭气浓度</w:t>
            </w:r>
          </w:p>
        </w:tc>
        <w:tc>
          <w:tcPr>
            <w:tcW w:w="1068" w:type="dxa"/>
            <w:vMerge w:val="continue"/>
            <w:vAlign w:val="center"/>
          </w:tcPr>
          <w:p w14:paraId="40C7DACE">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6E486017">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无组织排放监控</w:t>
            </w:r>
          </w:p>
          <w:p w14:paraId="23373D02">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浓度限值≤20（无量纲）</w:t>
            </w:r>
          </w:p>
        </w:tc>
        <w:tc>
          <w:tcPr>
            <w:tcW w:w="2089" w:type="dxa"/>
            <w:vAlign w:val="center"/>
          </w:tcPr>
          <w:p w14:paraId="5B44892A">
            <w:pPr>
              <w:widowControl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《恶臭污染物排放标准》（GB14554-93）表1标准</w:t>
            </w:r>
          </w:p>
        </w:tc>
      </w:tr>
      <w:tr w14:paraId="3CB66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1D546123">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restart"/>
            <w:vAlign w:val="center"/>
          </w:tcPr>
          <w:p w14:paraId="2105FB0F">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厂区废气</w:t>
            </w:r>
          </w:p>
        </w:tc>
        <w:tc>
          <w:tcPr>
            <w:tcW w:w="1459" w:type="dxa"/>
            <w:vMerge w:val="restart"/>
            <w:vAlign w:val="center"/>
          </w:tcPr>
          <w:p w14:paraId="74D58633">
            <w:pPr>
              <w:spacing w:line="240" w:lineRule="auto"/>
              <w:ind w:left="-72" w:leftChars="-30" w:right="-72" w:rightChars="-30" w:firstLine="0" w:firstLineChars="0"/>
              <w:jc w:val="center"/>
              <w:rPr>
                <w:rFonts w:ascii="Times New Roman" w:hAnsi="Times New Roman" w:cs="Times New Roman"/>
                <w:color w:val="auto"/>
                <w:szCs w:val="24"/>
              </w:rPr>
            </w:pPr>
            <w:r>
              <w:rPr>
                <w:rFonts w:ascii="Times New Roman" w:hAnsi="Times New Roman" w:cs="Times New Roman"/>
                <w:color w:val="auto"/>
                <w:szCs w:val="24"/>
              </w:rPr>
              <w:t>非甲烷总烃</w:t>
            </w:r>
          </w:p>
        </w:tc>
        <w:tc>
          <w:tcPr>
            <w:tcW w:w="1068" w:type="dxa"/>
            <w:vMerge w:val="restart"/>
            <w:vAlign w:val="center"/>
          </w:tcPr>
          <w:p w14:paraId="7A23CD0A">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w:t>
            </w:r>
          </w:p>
        </w:tc>
        <w:tc>
          <w:tcPr>
            <w:tcW w:w="2373" w:type="dxa"/>
            <w:vAlign w:val="center"/>
          </w:tcPr>
          <w:p w14:paraId="254798CD">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bCs/>
                <w:color w:val="auto"/>
                <w:szCs w:val="24"/>
              </w:rPr>
              <w:t>监控点处1h平均浓度值</w:t>
            </w:r>
            <w:r>
              <w:rPr>
                <w:rFonts w:ascii="Times New Roman" w:hAnsi="Times New Roman" w:cs="Times New Roman"/>
                <w:color w:val="auto"/>
                <w:szCs w:val="24"/>
              </w:rPr>
              <w:t>≤6mg/m</w:t>
            </w:r>
            <w:r>
              <w:rPr>
                <w:rFonts w:ascii="Times New Roman" w:hAnsi="Times New Roman" w:cs="Times New Roman"/>
                <w:color w:val="auto"/>
                <w:szCs w:val="24"/>
                <w:vertAlign w:val="superscript"/>
              </w:rPr>
              <w:t>3</w:t>
            </w:r>
          </w:p>
        </w:tc>
        <w:tc>
          <w:tcPr>
            <w:tcW w:w="2089" w:type="dxa"/>
            <w:vMerge w:val="restart"/>
            <w:vAlign w:val="center"/>
          </w:tcPr>
          <w:p w14:paraId="3217556D">
            <w:pPr>
              <w:wordWrap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江苏省地方标准《大气污染物综合排放标准》（DB32/4041-2021）表2标准</w:t>
            </w:r>
          </w:p>
        </w:tc>
      </w:tr>
      <w:tr w14:paraId="0094D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2559D6AE">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13AF76AE">
            <w:pPr>
              <w:wordWrap w:val="0"/>
              <w:adjustRightInd w:val="0"/>
              <w:snapToGrid w:val="0"/>
              <w:spacing w:line="240" w:lineRule="auto"/>
              <w:ind w:firstLine="0" w:firstLineChars="0"/>
              <w:jc w:val="center"/>
              <w:rPr>
                <w:rFonts w:ascii="Times New Roman" w:hAnsi="Times New Roman" w:cs="Times New Roman"/>
                <w:color w:val="auto"/>
                <w:szCs w:val="24"/>
              </w:rPr>
            </w:pPr>
          </w:p>
        </w:tc>
        <w:tc>
          <w:tcPr>
            <w:tcW w:w="1459" w:type="dxa"/>
            <w:vMerge w:val="continue"/>
            <w:vAlign w:val="center"/>
          </w:tcPr>
          <w:p w14:paraId="2803726E">
            <w:pPr>
              <w:spacing w:line="240" w:lineRule="auto"/>
              <w:ind w:left="-72" w:leftChars="-30" w:right="-72" w:rightChars="-30" w:firstLine="0" w:firstLineChars="0"/>
              <w:jc w:val="center"/>
              <w:rPr>
                <w:rFonts w:ascii="Times New Roman" w:hAnsi="Times New Roman" w:cs="Times New Roman"/>
                <w:color w:val="auto"/>
                <w:szCs w:val="24"/>
              </w:rPr>
            </w:pPr>
          </w:p>
        </w:tc>
        <w:tc>
          <w:tcPr>
            <w:tcW w:w="1068" w:type="dxa"/>
            <w:vMerge w:val="continue"/>
            <w:vAlign w:val="center"/>
          </w:tcPr>
          <w:p w14:paraId="03778724">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0584F9DE">
            <w:pPr>
              <w:wordWrap w:val="0"/>
              <w:adjustRightInd w:val="0"/>
              <w:snapToGrid w:val="0"/>
              <w:spacing w:line="240" w:lineRule="auto"/>
              <w:ind w:firstLine="0" w:firstLineChars="0"/>
              <w:jc w:val="center"/>
              <w:rPr>
                <w:rFonts w:ascii="Times New Roman" w:hAnsi="Times New Roman" w:cs="Times New Roman"/>
                <w:bCs/>
                <w:color w:val="auto"/>
                <w:szCs w:val="24"/>
              </w:rPr>
            </w:pPr>
            <w:r>
              <w:rPr>
                <w:rFonts w:ascii="Times New Roman" w:hAnsi="Times New Roman" w:cs="Times New Roman"/>
                <w:bCs/>
                <w:color w:val="auto"/>
                <w:szCs w:val="24"/>
              </w:rPr>
              <w:t>监控点处任意一次浓度值</w:t>
            </w:r>
            <w:r>
              <w:rPr>
                <w:rFonts w:ascii="Times New Roman" w:hAnsi="Times New Roman" w:cs="Times New Roman"/>
                <w:color w:val="auto"/>
                <w:szCs w:val="24"/>
              </w:rPr>
              <w:t>≤20mg/m</w:t>
            </w:r>
            <w:r>
              <w:rPr>
                <w:rFonts w:ascii="Times New Roman" w:hAnsi="Times New Roman" w:cs="Times New Roman"/>
                <w:color w:val="auto"/>
                <w:szCs w:val="24"/>
                <w:vertAlign w:val="superscript"/>
              </w:rPr>
              <w:t>3</w:t>
            </w:r>
          </w:p>
        </w:tc>
        <w:tc>
          <w:tcPr>
            <w:tcW w:w="2089" w:type="dxa"/>
            <w:vMerge w:val="continue"/>
            <w:vAlign w:val="center"/>
          </w:tcPr>
          <w:p w14:paraId="3A7C1640">
            <w:pPr>
              <w:wordWrap w:val="0"/>
              <w:adjustRightInd w:val="0"/>
              <w:snapToGrid w:val="0"/>
              <w:spacing w:line="240" w:lineRule="auto"/>
              <w:ind w:firstLine="0" w:firstLineChars="0"/>
              <w:jc w:val="center"/>
              <w:rPr>
                <w:rFonts w:ascii="Times New Roman" w:hAnsi="Times New Roman" w:cs="Times New Roman"/>
                <w:color w:val="auto"/>
                <w:szCs w:val="24"/>
              </w:rPr>
            </w:pPr>
          </w:p>
        </w:tc>
      </w:tr>
      <w:tr w14:paraId="186BE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restart"/>
            <w:vAlign w:val="center"/>
          </w:tcPr>
          <w:p w14:paraId="0059F6F0">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地表水环境</w:t>
            </w:r>
          </w:p>
        </w:tc>
        <w:tc>
          <w:tcPr>
            <w:tcW w:w="1005" w:type="dxa"/>
            <w:vMerge w:val="restart"/>
            <w:vAlign w:val="center"/>
          </w:tcPr>
          <w:p w14:paraId="1BE9B799">
            <w:pPr>
              <w:adjustRightInd w:val="0"/>
              <w:snapToGrid w:val="0"/>
              <w:spacing w:line="240" w:lineRule="auto"/>
              <w:ind w:firstLine="0" w:firstLineChars="0"/>
              <w:jc w:val="center"/>
              <w:rPr>
                <w:rFonts w:ascii="Times New Roman" w:hAnsi="Times New Roman" w:cs="Times New Roman"/>
                <w:color w:val="auto"/>
                <w:szCs w:val="24"/>
              </w:rPr>
            </w:pPr>
            <w:r>
              <w:rPr>
                <w:rFonts w:hint="eastAsia" w:ascii="Times New Roman" w:hAnsi="Times New Roman" w:cs="Times New Roman"/>
                <w:color w:val="auto"/>
                <w:szCs w:val="24"/>
              </w:rPr>
              <w:t>WS</w:t>
            </w:r>
            <w:r>
              <w:rPr>
                <w:rFonts w:ascii="Times New Roman" w:hAnsi="Times New Roman" w:cs="Times New Roman"/>
                <w:color w:val="auto"/>
                <w:szCs w:val="24"/>
              </w:rPr>
              <w:t>001</w:t>
            </w:r>
          </w:p>
        </w:tc>
        <w:tc>
          <w:tcPr>
            <w:tcW w:w="1459" w:type="dxa"/>
            <w:vAlign w:val="center"/>
          </w:tcPr>
          <w:p w14:paraId="0EDDD2F1">
            <w:pPr>
              <w:autoSpaceDE w:val="0"/>
              <w:autoSpaceDN w:val="0"/>
              <w:adjustRightInd w:val="0"/>
              <w:snapToGrid w:val="0"/>
              <w:spacing w:line="240" w:lineRule="auto"/>
              <w:ind w:firstLine="0" w:firstLineChars="0"/>
              <w:jc w:val="center"/>
              <w:rPr>
                <w:rFonts w:ascii="Times New Roman" w:hAnsi="Times New Roman" w:cs="Times New Roman"/>
                <w:color w:val="auto"/>
                <w:kern w:val="0"/>
                <w:szCs w:val="24"/>
              </w:rPr>
            </w:pPr>
            <w:r>
              <w:rPr>
                <w:rFonts w:ascii="Times New Roman" w:hAnsi="Times New Roman" w:cs="Times New Roman"/>
                <w:color w:val="auto"/>
                <w:kern w:val="0"/>
                <w:szCs w:val="24"/>
              </w:rPr>
              <w:t>pH</w:t>
            </w:r>
          </w:p>
        </w:tc>
        <w:tc>
          <w:tcPr>
            <w:tcW w:w="1068" w:type="dxa"/>
            <w:vMerge w:val="restart"/>
            <w:vAlign w:val="center"/>
          </w:tcPr>
          <w:p w14:paraId="267A0637">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经化粪池处理后，接管至</w:t>
            </w:r>
            <w:r>
              <w:rPr>
                <w:rFonts w:ascii="Times New Roman" w:hAnsi="Times New Roman" w:cs="Times New Roman"/>
                <w:bCs/>
                <w:color w:val="auto"/>
                <w:szCs w:val="24"/>
              </w:rPr>
              <w:t>江阴市城南污水处理有限公司集中</w:t>
            </w:r>
            <w:r>
              <w:rPr>
                <w:rFonts w:ascii="Times New Roman" w:hAnsi="Times New Roman" w:cs="Times New Roman"/>
                <w:color w:val="auto"/>
                <w:szCs w:val="24"/>
              </w:rPr>
              <w:t>处理</w:t>
            </w:r>
          </w:p>
        </w:tc>
        <w:tc>
          <w:tcPr>
            <w:tcW w:w="2373" w:type="dxa"/>
            <w:vAlign w:val="center"/>
          </w:tcPr>
          <w:p w14:paraId="69EBC36E">
            <w:pPr>
              <w:widowControl w:val="0"/>
              <w:adjustRightInd w:val="0"/>
              <w:snapToGrid w:val="0"/>
              <w:spacing w:line="240" w:lineRule="auto"/>
              <w:ind w:firstLine="0" w:firstLineChars="0"/>
              <w:jc w:val="center"/>
              <w:rPr>
                <w:rFonts w:ascii="Times New Roman" w:hAnsi="Times New Roman" w:eastAsia="宋体" w:cs="Times New Roman"/>
                <w:bCs/>
                <w:color w:val="auto"/>
                <w:kern w:val="2"/>
                <w:sz w:val="24"/>
                <w:szCs w:val="24"/>
                <w:lang w:val="en-US" w:eastAsia="zh-CN" w:bidi="ar-SA"/>
              </w:rPr>
            </w:pPr>
            <w:r>
              <w:rPr>
                <w:rFonts w:ascii="Times New Roman" w:hAnsi="Times New Roman" w:eastAsia="宋体" w:cs="Times New Roman"/>
                <w:bCs/>
                <w:color w:val="auto"/>
                <w:kern w:val="2"/>
                <w:sz w:val="24"/>
                <w:szCs w:val="24"/>
                <w:lang w:val="en-US" w:eastAsia="zh-CN" w:bidi="ar-SA"/>
              </w:rPr>
              <w:t>6-9</w:t>
            </w:r>
          </w:p>
        </w:tc>
        <w:tc>
          <w:tcPr>
            <w:tcW w:w="2089" w:type="dxa"/>
            <w:vMerge w:val="restart"/>
            <w:vAlign w:val="center"/>
          </w:tcPr>
          <w:p w14:paraId="345970BC">
            <w:pPr>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《太湖地区城镇污水处理厂及重点工业行业主要水污染物排放限值》（DB32/1072-2018）表2标准和《城镇污水处理厂污染物排放标准》（GB18918-2002）表1一级A标准</w:t>
            </w:r>
          </w:p>
        </w:tc>
      </w:tr>
      <w:tr w14:paraId="675F8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2C54FFB7">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5E277068">
            <w:pPr>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09465C2E">
            <w:pPr>
              <w:autoSpaceDE w:val="0"/>
              <w:autoSpaceDN w:val="0"/>
              <w:adjustRightInd w:val="0"/>
              <w:snapToGrid w:val="0"/>
              <w:spacing w:line="240" w:lineRule="auto"/>
              <w:ind w:firstLine="0" w:firstLineChars="0"/>
              <w:jc w:val="center"/>
              <w:rPr>
                <w:rFonts w:ascii="Times New Roman" w:hAnsi="Times New Roman" w:cs="Times New Roman"/>
                <w:color w:val="auto"/>
                <w:kern w:val="0"/>
                <w:szCs w:val="24"/>
              </w:rPr>
            </w:pPr>
            <w:r>
              <w:rPr>
                <w:rFonts w:ascii="Times New Roman" w:hAnsi="Times New Roman" w:cs="Times New Roman"/>
                <w:color w:val="auto"/>
                <w:kern w:val="0"/>
                <w:szCs w:val="24"/>
              </w:rPr>
              <w:t>COD</w:t>
            </w:r>
          </w:p>
        </w:tc>
        <w:tc>
          <w:tcPr>
            <w:tcW w:w="1068" w:type="dxa"/>
            <w:vMerge w:val="continue"/>
            <w:vAlign w:val="center"/>
          </w:tcPr>
          <w:p w14:paraId="256FEC06">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7EBECC89">
            <w:pPr>
              <w:widowControl w:val="0"/>
              <w:adjustRightInd w:val="0"/>
              <w:snapToGrid w:val="0"/>
              <w:spacing w:line="240" w:lineRule="auto"/>
              <w:ind w:firstLine="0" w:firstLineChars="0"/>
              <w:jc w:val="center"/>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bCs/>
                <w:color w:val="auto"/>
                <w:kern w:val="2"/>
                <w:sz w:val="24"/>
                <w:szCs w:val="24"/>
                <w:lang w:val="en-US" w:eastAsia="zh-CN" w:bidi="ar-SA"/>
              </w:rPr>
              <w:t>50</w:t>
            </w:r>
          </w:p>
        </w:tc>
        <w:tc>
          <w:tcPr>
            <w:tcW w:w="2089" w:type="dxa"/>
            <w:vMerge w:val="continue"/>
            <w:vAlign w:val="center"/>
          </w:tcPr>
          <w:p w14:paraId="4A2F3297">
            <w:pPr>
              <w:spacing w:line="240" w:lineRule="auto"/>
              <w:ind w:firstLine="0" w:firstLineChars="0"/>
              <w:jc w:val="center"/>
              <w:rPr>
                <w:rFonts w:ascii="Times New Roman" w:hAnsi="Times New Roman" w:cs="Times New Roman"/>
                <w:color w:val="auto"/>
                <w:szCs w:val="24"/>
              </w:rPr>
            </w:pPr>
          </w:p>
        </w:tc>
      </w:tr>
      <w:tr w14:paraId="4578B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0DCA47C2">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6EE6BBEE">
            <w:pPr>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3CD9EC65">
            <w:pPr>
              <w:autoSpaceDE w:val="0"/>
              <w:autoSpaceDN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kern w:val="0"/>
                <w:szCs w:val="24"/>
              </w:rPr>
              <w:t>SS</w:t>
            </w:r>
          </w:p>
        </w:tc>
        <w:tc>
          <w:tcPr>
            <w:tcW w:w="1068" w:type="dxa"/>
            <w:vMerge w:val="continue"/>
            <w:vAlign w:val="center"/>
          </w:tcPr>
          <w:p w14:paraId="2D72B4A6">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55AF5C1C">
            <w:pPr>
              <w:widowControl w:val="0"/>
              <w:adjustRightInd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bCs/>
                <w:color w:val="auto"/>
                <w:kern w:val="2"/>
                <w:sz w:val="24"/>
                <w:szCs w:val="24"/>
                <w:lang w:val="en-US" w:eastAsia="zh-CN" w:bidi="ar-SA"/>
              </w:rPr>
              <w:t>10</w:t>
            </w:r>
          </w:p>
        </w:tc>
        <w:tc>
          <w:tcPr>
            <w:tcW w:w="2089" w:type="dxa"/>
            <w:vMerge w:val="continue"/>
            <w:vAlign w:val="center"/>
          </w:tcPr>
          <w:p w14:paraId="795A4EC6">
            <w:pPr>
              <w:spacing w:line="240" w:lineRule="auto"/>
              <w:ind w:firstLine="0" w:firstLineChars="0"/>
              <w:jc w:val="center"/>
              <w:rPr>
                <w:rFonts w:ascii="Times New Roman" w:hAnsi="Times New Roman" w:cs="Times New Roman"/>
                <w:color w:val="auto"/>
                <w:szCs w:val="24"/>
              </w:rPr>
            </w:pPr>
          </w:p>
        </w:tc>
      </w:tr>
      <w:tr w14:paraId="6E448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5B8B308D">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1461FFD2">
            <w:pPr>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63C3AE61">
            <w:pPr>
              <w:autoSpaceDE w:val="0"/>
              <w:autoSpaceDN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kern w:val="0"/>
                <w:szCs w:val="24"/>
              </w:rPr>
              <w:t>氨氮</w:t>
            </w:r>
          </w:p>
        </w:tc>
        <w:tc>
          <w:tcPr>
            <w:tcW w:w="1068" w:type="dxa"/>
            <w:vMerge w:val="continue"/>
            <w:vAlign w:val="center"/>
          </w:tcPr>
          <w:p w14:paraId="4FBBE8E4">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5FB408BB">
            <w:pPr>
              <w:widowControl w:val="0"/>
              <w:adjustRightInd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w:t>
            </w:r>
          </w:p>
        </w:tc>
        <w:tc>
          <w:tcPr>
            <w:tcW w:w="2089" w:type="dxa"/>
            <w:vMerge w:val="continue"/>
            <w:vAlign w:val="center"/>
          </w:tcPr>
          <w:p w14:paraId="42CFE941">
            <w:pPr>
              <w:spacing w:line="240" w:lineRule="auto"/>
              <w:ind w:firstLine="0" w:firstLineChars="0"/>
              <w:jc w:val="center"/>
              <w:rPr>
                <w:rFonts w:ascii="Times New Roman" w:hAnsi="Times New Roman" w:cs="Times New Roman"/>
                <w:color w:val="auto"/>
                <w:szCs w:val="24"/>
              </w:rPr>
            </w:pPr>
          </w:p>
        </w:tc>
      </w:tr>
      <w:tr w14:paraId="09B0D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792A75C0">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1EA79309">
            <w:pPr>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49AD4F44">
            <w:pPr>
              <w:autoSpaceDE w:val="0"/>
              <w:autoSpaceDN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kern w:val="0"/>
                <w:szCs w:val="24"/>
              </w:rPr>
              <w:t>总磷</w:t>
            </w:r>
          </w:p>
        </w:tc>
        <w:tc>
          <w:tcPr>
            <w:tcW w:w="1068" w:type="dxa"/>
            <w:vMerge w:val="continue"/>
            <w:vAlign w:val="center"/>
          </w:tcPr>
          <w:p w14:paraId="38913DAF">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2B0C0B74">
            <w:pPr>
              <w:widowControl w:val="0"/>
              <w:adjustRightInd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Cs/>
                <w:color w:val="auto"/>
                <w:kern w:val="2"/>
                <w:sz w:val="24"/>
                <w:szCs w:val="24"/>
                <w:lang w:val="en-US" w:eastAsia="zh-CN" w:bidi="ar-SA"/>
              </w:rPr>
              <w:t>0.2</w:t>
            </w:r>
          </w:p>
        </w:tc>
        <w:tc>
          <w:tcPr>
            <w:tcW w:w="2089" w:type="dxa"/>
            <w:vMerge w:val="continue"/>
            <w:vAlign w:val="center"/>
          </w:tcPr>
          <w:p w14:paraId="4E6CB8F3">
            <w:pPr>
              <w:spacing w:line="240" w:lineRule="auto"/>
              <w:ind w:firstLine="0" w:firstLineChars="0"/>
              <w:jc w:val="center"/>
              <w:rPr>
                <w:rFonts w:ascii="Times New Roman" w:hAnsi="Times New Roman" w:cs="Times New Roman"/>
                <w:color w:val="auto"/>
                <w:szCs w:val="24"/>
              </w:rPr>
            </w:pPr>
          </w:p>
        </w:tc>
      </w:tr>
      <w:tr w14:paraId="137EF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5210C757">
            <w:pPr>
              <w:adjustRightInd w:val="0"/>
              <w:snapToGrid w:val="0"/>
              <w:spacing w:line="240" w:lineRule="auto"/>
              <w:ind w:firstLine="0" w:firstLineChars="0"/>
              <w:jc w:val="center"/>
              <w:rPr>
                <w:rFonts w:ascii="Times New Roman" w:hAnsi="Times New Roman" w:cs="Times New Roman"/>
                <w:color w:val="auto"/>
                <w:szCs w:val="24"/>
              </w:rPr>
            </w:pPr>
          </w:p>
        </w:tc>
        <w:tc>
          <w:tcPr>
            <w:tcW w:w="1005" w:type="dxa"/>
            <w:vMerge w:val="continue"/>
            <w:vAlign w:val="center"/>
          </w:tcPr>
          <w:p w14:paraId="260E6A13">
            <w:pPr>
              <w:adjustRightInd w:val="0"/>
              <w:snapToGrid w:val="0"/>
              <w:spacing w:line="240" w:lineRule="auto"/>
              <w:ind w:firstLine="0" w:firstLineChars="0"/>
              <w:jc w:val="center"/>
              <w:rPr>
                <w:rFonts w:ascii="Times New Roman" w:hAnsi="Times New Roman" w:cs="Times New Roman"/>
                <w:color w:val="auto"/>
                <w:szCs w:val="24"/>
              </w:rPr>
            </w:pPr>
          </w:p>
        </w:tc>
        <w:tc>
          <w:tcPr>
            <w:tcW w:w="1459" w:type="dxa"/>
            <w:vAlign w:val="center"/>
          </w:tcPr>
          <w:p w14:paraId="53E66D5C">
            <w:pPr>
              <w:autoSpaceDE w:val="0"/>
              <w:autoSpaceDN w:val="0"/>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kern w:val="0"/>
                <w:szCs w:val="24"/>
              </w:rPr>
              <w:t>总氮</w:t>
            </w:r>
          </w:p>
        </w:tc>
        <w:tc>
          <w:tcPr>
            <w:tcW w:w="1068" w:type="dxa"/>
            <w:vMerge w:val="continue"/>
            <w:vAlign w:val="center"/>
          </w:tcPr>
          <w:p w14:paraId="53B4F3DC">
            <w:pPr>
              <w:adjustRightInd w:val="0"/>
              <w:snapToGrid w:val="0"/>
              <w:spacing w:line="240" w:lineRule="auto"/>
              <w:ind w:firstLine="0" w:firstLineChars="0"/>
              <w:jc w:val="center"/>
              <w:rPr>
                <w:rFonts w:ascii="Times New Roman" w:hAnsi="Times New Roman" w:cs="Times New Roman"/>
                <w:color w:val="auto"/>
                <w:szCs w:val="24"/>
              </w:rPr>
            </w:pPr>
          </w:p>
        </w:tc>
        <w:tc>
          <w:tcPr>
            <w:tcW w:w="2373" w:type="dxa"/>
            <w:vAlign w:val="center"/>
          </w:tcPr>
          <w:p w14:paraId="14F61463">
            <w:pPr>
              <w:widowControl w:val="0"/>
              <w:adjustRightInd w:val="0"/>
              <w:snapToGrid w:val="0"/>
              <w:spacing w:line="240" w:lineRule="auto"/>
              <w:ind w:firstLine="0" w:firstLineChars="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bCs/>
                <w:color w:val="auto"/>
                <w:kern w:val="2"/>
                <w:sz w:val="24"/>
                <w:szCs w:val="24"/>
                <w:lang w:val="en-US" w:eastAsia="zh-CN" w:bidi="ar-SA"/>
              </w:rPr>
              <w:t>12</w:t>
            </w:r>
          </w:p>
        </w:tc>
        <w:tc>
          <w:tcPr>
            <w:tcW w:w="2089" w:type="dxa"/>
            <w:vMerge w:val="continue"/>
            <w:vAlign w:val="center"/>
          </w:tcPr>
          <w:p w14:paraId="0C34A510">
            <w:pPr>
              <w:spacing w:line="240" w:lineRule="auto"/>
              <w:ind w:firstLine="0" w:firstLineChars="0"/>
              <w:jc w:val="center"/>
              <w:rPr>
                <w:rFonts w:ascii="Times New Roman" w:hAnsi="Times New Roman" w:cs="Times New Roman"/>
                <w:color w:val="auto"/>
                <w:szCs w:val="24"/>
              </w:rPr>
            </w:pPr>
          </w:p>
        </w:tc>
      </w:tr>
      <w:tr w14:paraId="7E415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387F46EB">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声环境</w:t>
            </w:r>
          </w:p>
        </w:tc>
        <w:tc>
          <w:tcPr>
            <w:tcW w:w="1005" w:type="dxa"/>
            <w:vAlign w:val="center"/>
          </w:tcPr>
          <w:p w14:paraId="4C6C3AF7">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注塑机、高速粒子机、滚轮机、风机等设备</w:t>
            </w:r>
          </w:p>
        </w:tc>
        <w:tc>
          <w:tcPr>
            <w:tcW w:w="1459" w:type="dxa"/>
            <w:vAlign w:val="center"/>
          </w:tcPr>
          <w:p w14:paraId="3441DC0A">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噪声</w:t>
            </w:r>
          </w:p>
        </w:tc>
        <w:tc>
          <w:tcPr>
            <w:tcW w:w="1068" w:type="dxa"/>
            <w:vAlign w:val="center"/>
          </w:tcPr>
          <w:p w14:paraId="4C7F2319">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合理布局、选用低噪声设备、采取隔振罩等</w:t>
            </w:r>
          </w:p>
        </w:tc>
        <w:tc>
          <w:tcPr>
            <w:tcW w:w="4462" w:type="dxa"/>
            <w:gridSpan w:val="2"/>
            <w:vAlign w:val="center"/>
          </w:tcPr>
          <w:p w14:paraId="4D185C8F">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《工业企业厂界环境噪声排放标准》（GB12348-2008）表1中3类标准，即昼间≤65dB(A)，夜间≤55dB(A)</w:t>
            </w:r>
          </w:p>
        </w:tc>
      </w:tr>
      <w:tr w14:paraId="40046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7E984FCD">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电磁辐射</w:t>
            </w:r>
          </w:p>
        </w:tc>
        <w:tc>
          <w:tcPr>
            <w:tcW w:w="1005" w:type="dxa"/>
            <w:vAlign w:val="center"/>
          </w:tcPr>
          <w:p w14:paraId="56CA53F3">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w:t>
            </w:r>
          </w:p>
        </w:tc>
        <w:tc>
          <w:tcPr>
            <w:tcW w:w="1459" w:type="dxa"/>
            <w:vAlign w:val="center"/>
          </w:tcPr>
          <w:p w14:paraId="6023EB92">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w:t>
            </w:r>
          </w:p>
        </w:tc>
        <w:tc>
          <w:tcPr>
            <w:tcW w:w="1068" w:type="dxa"/>
            <w:vAlign w:val="center"/>
          </w:tcPr>
          <w:p w14:paraId="4519078D">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w:t>
            </w:r>
          </w:p>
        </w:tc>
        <w:tc>
          <w:tcPr>
            <w:tcW w:w="4462" w:type="dxa"/>
            <w:gridSpan w:val="2"/>
            <w:vAlign w:val="center"/>
          </w:tcPr>
          <w:p w14:paraId="28C7E113">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w:t>
            </w:r>
          </w:p>
        </w:tc>
      </w:tr>
      <w:tr w14:paraId="5CD2F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210" w:type="dxa"/>
            <w:vAlign w:val="center"/>
          </w:tcPr>
          <w:p w14:paraId="53BD400E">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固体废物</w:t>
            </w:r>
          </w:p>
        </w:tc>
        <w:tc>
          <w:tcPr>
            <w:tcW w:w="7994" w:type="dxa"/>
            <w:gridSpan w:val="5"/>
            <w:vAlign w:val="center"/>
          </w:tcPr>
          <w:p w14:paraId="7FE58396">
            <w:pPr>
              <w:widowControl w:val="0"/>
              <w:adjustRightInd w:val="0"/>
              <w:snapToGrid w:val="0"/>
              <w:spacing w:line="240" w:lineRule="auto"/>
              <w:ind w:firstLine="0" w:firstLineChars="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本项目一般工业固废在车间内指定区域堆放，车间为密闭设计，仅开启门窗进行通风，地面进行了硬化处理，具备防腐、防渗和防漏能力，故本项目一般工业固体废物堆放满足相应防渗漏、防雨淋、防扬尘等环境保护要求。一般工业固废分类收集贮存，有回收利用价值的外售综合利用，无利用价值的委托环卫清运。</w:t>
            </w:r>
          </w:p>
          <w:p w14:paraId="35529D8D">
            <w:pPr>
              <w:widowControl w:val="0"/>
              <w:adjustRightInd w:val="0"/>
              <w:snapToGrid w:val="0"/>
              <w:spacing w:line="240" w:lineRule="auto"/>
              <w:ind w:firstLine="0" w:firstLineChars="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本项目设置一座占地</w:t>
            </w:r>
            <w:r>
              <w:rPr>
                <w:rFonts w:hint="eastAsia" w:ascii="Times New Roman" w:hAnsi="Times New Roman" w:eastAsia="宋体" w:cs="Times New Roman"/>
                <w:color w:val="auto"/>
                <w:kern w:val="2"/>
                <w:sz w:val="24"/>
                <w:szCs w:val="24"/>
                <w:lang w:val="en-US" w:eastAsia="zh-CN" w:bidi="ar-SA"/>
              </w:rPr>
              <w:t>10</w:t>
            </w:r>
            <w:r>
              <w:rPr>
                <w:rFonts w:ascii="Times New Roman" w:hAnsi="Times New Roman" w:eastAsia="宋体" w:cs="Times New Roman"/>
                <w:color w:val="auto"/>
                <w:kern w:val="2"/>
                <w:sz w:val="24"/>
                <w:szCs w:val="24"/>
                <w:lang w:val="en-US" w:eastAsia="zh-CN" w:bidi="ar-SA"/>
              </w:rPr>
              <w:t>m</w:t>
            </w:r>
            <w:r>
              <w:rPr>
                <w:rFonts w:ascii="Times New Roman" w:hAnsi="Times New Roman" w:eastAsia="宋体" w:cs="Times New Roman"/>
                <w:color w:val="auto"/>
                <w:kern w:val="2"/>
                <w:sz w:val="24"/>
                <w:szCs w:val="24"/>
                <w:vertAlign w:val="superscript"/>
                <w:lang w:val="en-US" w:eastAsia="zh-CN" w:bidi="ar-SA"/>
              </w:rPr>
              <w:t>2</w:t>
            </w:r>
            <w:r>
              <w:rPr>
                <w:rFonts w:ascii="Times New Roman" w:hAnsi="Times New Roman" w:eastAsia="宋体" w:cs="Times New Roman"/>
                <w:color w:val="auto"/>
                <w:kern w:val="2"/>
                <w:sz w:val="24"/>
                <w:szCs w:val="24"/>
                <w:lang w:val="en-US" w:eastAsia="zh-CN" w:bidi="ar-SA"/>
              </w:rPr>
              <w:t>的危废仓库，按照《危险废物贮存污染控制标准》（GB18597-2023）相关要求建设，生产过程产生的各类危废分类存放、贮存，定期委托有资质单位处置。</w:t>
            </w:r>
          </w:p>
        </w:tc>
      </w:tr>
      <w:tr w14:paraId="5E708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210" w:type="dxa"/>
            <w:vAlign w:val="center"/>
          </w:tcPr>
          <w:p w14:paraId="546FBCBB">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土壤及地下水污染防治措施</w:t>
            </w:r>
          </w:p>
        </w:tc>
        <w:tc>
          <w:tcPr>
            <w:tcW w:w="7994" w:type="dxa"/>
            <w:gridSpan w:val="5"/>
            <w:vAlign w:val="center"/>
          </w:tcPr>
          <w:p w14:paraId="0F2EEB62">
            <w:pPr>
              <w:widowControl w:val="0"/>
              <w:adjustRightInd w:val="0"/>
              <w:snapToGrid w:val="0"/>
              <w:spacing w:line="240" w:lineRule="auto"/>
              <w:ind w:firstLine="0" w:firstLineChars="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①重点防渗区（危废暂存区、生产车间）防渗要求为等效黏土防渗层Mb≥6.0m，K≤1×10</w:t>
            </w:r>
            <w:r>
              <w:rPr>
                <w:rFonts w:ascii="Times New Roman" w:hAnsi="Times New Roman" w:eastAsia="宋体" w:cs="Times New Roman"/>
                <w:color w:val="auto"/>
                <w:kern w:val="2"/>
                <w:sz w:val="24"/>
                <w:szCs w:val="24"/>
                <w:vertAlign w:val="superscript"/>
                <w:lang w:val="en-US" w:eastAsia="zh-CN" w:bidi="ar-SA"/>
              </w:rPr>
              <w:t>-7</w:t>
            </w:r>
            <w:r>
              <w:rPr>
                <w:rFonts w:ascii="Times New Roman" w:hAnsi="Times New Roman" w:eastAsia="宋体" w:cs="Times New Roman"/>
                <w:color w:val="auto"/>
                <w:kern w:val="2"/>
                <w:sz w:val="24"/>
                <w:szCs w:val="24"/>
                <w:lang w:val="en-US" w:eastAsia="zh-CN" w:bidi="ar-SA"/>
              </w:rPr>
              <w:t>cm/s或参照GB18598执行；</w:t>
            </w:r>
          </w:p>
          <w:p w14:paraId="3116E565">
            <w:pPr>
              <w:widowControl w:val="0"/>
              <w:adjustRightInd w:val="0"/>
              <w:snapToGrid w:val="0"/>
              <w:spacing w:line="240" w:lineRule="auto"/>
              <w:ind w:firstLine="0" w:firstLineChars="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②一般防渗区（办公区、一般固废堆场等其他区域）防渗要求：等效黏土防渗层Mb≥1.5m，K≤1×10</w:t>
            </w:r>
            <w:r>
              <w:rPr>
                <w:rFonts w:ascii="Times New Roman" w:hAnsi="Times New Roman" w:eastAsia="宋体" w:cs="Times New Roman"/>
                <w:color w:val="auto"/>
                <w:kern w:val="2"/>
                <w:sz w:val="24"/>
                <w:szCs w:val="24"/>
                <w:vertAlign w:val="superscript"/>
                <w:lang w:val="en-US" w:eastAsia="zh-CN" w:bidi="ar-SA"/>
              </w:rPr>
              <w:t>-7</w:t>
            </w:r>
            <w:r>
              <w:rPr>
                <w:rFonts w:ascii="Times New Roman" w:hAnsi="Times New Roman" w:eastAsia="宋体" w:cs="Times New Roman"/>
                <w:color w:val="auto"/>
                <w:kern w:val="2"/>
                <w:sz w:val="24"/>
                <w:szCs w:val="24"/>
                <w:lang w:val="en-US" w:eastAsia="zh-CN" w:bidi="ar-SA"/>
              </w:rPr>
              <w:t>cm/s或参照GB16889执行；</w:t>
            </w:r>
          </w:p>
          <w:p w14:paraId="19655197">
            <w:pPr>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③简单防渗区（办公区、道路）防渗要求：一般地面硬化。</w:t>
            </w:r>
          </w:p>
        </w:tc>
      </w:tr>
      <w:tr w14:paraId="10297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vAlign w:val="center"/>
          </w:tcPr>
          <w:p w14:paraId="094C42A1">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生态保护</w:t>
            </w:r>
          </w:p>
          <w:p w14:paraId="5F5BAE1D">
            <w:pPr>
              <w:adjustRightInd w:val="0"/>
              <w:snapToGrid w:val="0"/>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措施</w:t>
            </w:r>
          </w:p>
        </w:tc>
        <w:tc>
          <w:tcPr>
            <w:tcW w:w="7994" w:type="dxa"/>
            <w:gridSpan w:val="5"/>
            <w:vAlign w:val="center"/>
          </w:tcPr>
          <w:p w14:paraId="03058623">
            <w:pPr>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本项目不涉及。</w:t>
            </w:r>
          </w:p>
        </w:tc>
      </w:tr>
      <w:tr w14:paraId="61E86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6" w:hRule="atLeast"/>
          <w:jc w:val="center"/>
        </w:trPr>
        <w:tc>
          <w:tcPr>
            <w:tcW w:w="1210" w:type="dxa"/>
            <w:vAlign w:val="center"/>
          </w:tcPr>
          <w:p w14:paraId="0E167286">
            <w:pPr>
              <w:adjustRightInd w:val="0"/>
              <w:snapToGrid w:val="0"/>
              <w:spacing w:line="240" w:lineRule="auto"/>
              <w:ind w:firstLine="0" w:firstLineChars="0"/>
              <w:jc w:val="center"/>
              <w:rPr>
                <w:rFonts w:ascii="Times New Roman" w:hAnsi="Times New Roman" w:cs="Times New Roman"/>
                <w:color w:val="auto"/>
                <w:spacing w:val="-8"/>
                <w:szCs w:val="24"/>
              </w:rPr>
            </w:pPr>
            <w:r>
              <w:rPr>
                <w:rFonts w:ascii="Times New Roman" w:hAnsi="Times New Roman" w:cs="Times New Roman"/>
                <w:color w:val="auto"/>
                <w:spacing w:val="-8"/>
                <w:szCs w:val="24"/>
              </w:rPr>
              <w:t>环境风险</w:t>
            </w:r>
          </w:p>
          <w:p w14:paraId="1F7AD453">
            <w:pPr>
              <w:adjustRightInd w:val="0"/>
              <w:snapToGrid w:val="0"/>
              <w:spacing w:line="240" w:lineRule="auto"/>
              <w:ind w:firstLine="0" w:firstLineChars="0"/>
              <w:jc w:val="center"/>
              <w:rPr>
                <w:rFonts w:ascii="Times New Roman" w:hAnsi="Times New Roman" w:cs="Times New Roman"/>
                <w:color w:val="auto"/>
                <w:spacing w:val="-8"/>
                <w:szCs w:val="24"/>
              </w:rPr>
            </w:pPr>
            <w:r>
              <w:rPr>
                <w:rFonts w:ascii="Times New Roman" w:hAnsi="Times New Roman" w:cs="Times New Roman"/>
                <w:color w:val="auto"/>
                <w:spacing w:val="-8"/>
                <w:szCs w:val="24"/>
              </w:rPr>
              <w:t>防范措施</w:t>
            </w:r>
          </w:p>
        </w:tc>
        <w:tc>
          <w:tcPr>
            <w:tcW w:w="7994" w:type="dxa"/>
            <w:gridSpan w:val="5"/>
            <w:vAlign w:val="center"/>
          </w:tcPr>
          <w:p w14:paraId="58DB47CB">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企业应从生产管理、原料贮存、消防及火灾报警系统等方面制定相应的环境风险防范措施，厂区内建设一座容积为1</w:t>
            </w:r>
            <w:r>
              <w:rPr>
                <w:rFonts w:hint="eastAsia" w:ascii="Times New Roman" w:hAnsi="Times New Roman" w:cs="Times New Roman"/>
                <w:color w:val="auto"/>
                <w:szCs w:val="24"/>
              </w:rPr>
              <w:t>2</w:t>
            </w:r>
            <w:r>
              <w:rPr>
                <w:rFonts w:ascii="Times New Roman" w:hAnsi="Times New Roman" w:cs="Times New Roman"/>
                <w:color w:val="auto"/>
                <w:szCs w:val="24"/>
              </w:rPr>
              <w:t>0m</w:t>
            </w:r>
            <w:r>
              <w:rPr>
                <w:rFonts w:ascii="Times New Roman" w:hAnsi="Times New Roman" w:cs="Times New Roman"/>
                <w:color w:val="auto"/>
                <w:szCs w:val="24"/>
                <w:vertAlign w:val="superscript"/>
              </w:rPr>
              <w:t>3</w:t>
            </w:r>
            <w:r>
              <w:rPr>
                <w:rFonts w:ascii="Times New Roman" w:hAnsi="Times New Roman" w:cs="Times New Roman"/>
                <w:color w:val="auto"/>
                <w:szCs w:val="24"/>
              </w:rPr>
              <w:t>的事故应急池，并在雨水排口处设置截止阀，能够有效防止泄漏物、消防废水外溢至附近水体，同时配备相应应急物资可以满足现有厂区事故状态下的需求，满足突发环境事件应急需求。</w:t>
            </w:r>
          </w:p>
          <w:p w14:paraId="31BBA4CD">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本项目完成建设后建设单位应按照《关于印发江苏省突发环境事件应急预案管理办法的通知》（苏环规</w:t>
            </w:r>
            <w:r>
              <w:rPr>
                <w:rFonts w:hint="eastAsia" w:ascii="Times New Roman" w:hAnsi="Times New Roman" w:cs="Times New Roman"/>
                <w:color w:val="auto"/>
                <w:szCs w:val="24"/>
              </w:rPr>
              <w:t>〔</w:t>
            </w:r>
            <w:r>
              <w:rPr>
                <w:rFonts w:ascii="Times New Roman" w:hAnsi="Times New Roman" w:cs="Times New Roman"/>
                <w:color w:val="auto"/>
                <w:szCs w:val="24"/>
              </w:rPr>
              <w:t>2014</w:t>
            </w:r>
            <w:r>
              <w:rPr>
                <w:rFonts w:hint="eastAsia" w:ascii="Times New Roman" w:hAnsi="Times New Roman" w:cs="Times New Roman"/>
                <w:color w:val="auto"/>
                <w:szCs w:val="24"/>
              </w:rPr>
              <w:t>〕</w:t>
            </w:r>
            <w:r>
              <w:rPr>
                <w:rFonts w:ascii="Times New Roman" w:hAnsi="Times New Roman" w:cs="Times New Roman"/>
                <w:color w:val="auto"/>
                <w:szCs w:val="24"/>
              </w:rPr>
              <w:t>2号）等相关文件要求，编制突发环境事件应急预案，评估厂区环境风险情况，明确厂区的应急物资等情况，并明确与园区/区域、地方政府环境风险应急体系，体现分级响应、区域联动的原则，与地方政府突发环境事件应急预案相衔接，明确分级响应程序。</w:t>
            </w:r>
          </w:p>
        </w:tc>
      </w:tr>
      <w:tr w14:paraId="6AFEF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83" w:hRule="atLeast"/>
          <w:jc w:val="center"/>
        </w:trPr>
        <w:tc>
          <w:tcPr>
            <w:tcW w:w="1210" w:type="dxa"/>
            <w:vAlign w:val="center"/>
          </w:tcPr>
          <w:p w14:paraId="27B85A40">
            <w:pPr>
              <w:adjustRightInd w:val="0"/>
              <w:snapToGrid w:val="0"/>
              <w:spacing w:line="240" w:lineRule="auto"/>
              <w:ind w:firstLine="0" w:firstLineChars="0"/>
              <w:jc w:val="center"/>
              <w:rPr>
                <w:rFonts w:ascii="Times New Roman" w:hAnsi="Times New Roman" w:cs="Times New Roman"/>
                <w:color w:val="auto"/>
                <w:spacing w:val="-8"/>
                <w:szCs w:val="24"/>
              </w:rPr>
            </w:pPr>
            <w:r>
              <w:rPr>
                <w:rFonts w:ascii="Times New Roman" w:hAnsi="Times New Roman" w:cs="Times New Roman"/>
                <w:color w:val="auto"/>
                <w:spacing w:val="-8"/>
                <w:szCs w:val="24"/>
              </w:rPr>
              <w:t>其他环境</w:t>
            </w:r>
          </w:p>
          <w:p w14:paraId="13F0C899">
            <w:pPr>
              <w:adjustRightInd w:val="0"/>
              <w:snapToGrid w:val="0"/>
              <w:spacing w:line="240" w:lineRule="auto"/>
              <w:ind w:firstLine="0" w:firstLineChars="0"/>
              <w:jc w:val="center"/>
              <w:rPr>
                <w:rFonts w:ascii="Times New Roman" w:hAnsi="Times New Roman" w:cs="Times New Roman"/>
                <w:color w:val="auto"/>
                <w:spacing w:val="-8"/>
                <w:szCs w:val="24"/>
              </w:rPr>
            </w:pPr>
            <w:r>
              <w:rPr>
                <w:rFonts w:ascii="Times New Roman" w:hAnsi="Times New Roman" w:cs="Times New Roman"/>
                <w:color w:val="auto"/>
                <w:spacing w:val="-8"/>
                <w:szCs w:val="24"/>
              </w:rPr>
              <w:t>管理要求</w:t>
            </w:r>
          </w:p>
        </w:tc>
        <w:tc>
          <w:tcPr>
            <w:tcW w:w="7994" w:type="dxa"/>
            <w:gridSpan w:val="5"/>
            <w:vAlign w:val="center"/>
          </w:tcPr>
          <w:p w14:paraId="0F2B445B">
            <w:pPr>
              <w:keepNext/>
              <w:keepLines/>
              <w:adjustRightInd w:val="0"/>
              <w:snapToGrid w:val="0"/>
              <w:spacing w:line="240" w:lineRule="auto"/>
              <w:ind w:firstLine="0" w:firstLineChars="0"/>
              <w:rPr>
                <w:rFonts w:ascii="Times New Roman" w:hAnsi="Times New Roman" w:cs="Times New Roman"/>
                <w:color w:val="auto"/>
                <w:szCs w:val="24"/>
                <w:lang w:eastAsia="zh-Hans"/>
              </w:rPr>
            </w:pPr>
            <w:r>
              <w:rPr>
                <w:rFonts w:ascii="Times New Roman" w:hAnsi="Times New Roman" w:cs="Times New Roman"/>
                <w:color w:val="auto"/>
                <w:szCs w:val="24"/>
              </w:rPr>
              <w:t>根据《固定污染源排污许可分类管理名录》（2019年版），判断该项目属于“二十四，橡胶和塑料制品业”中“塑料零件及其他塑料制品制造2929”，产量未达到1万吨及以上，属于排污登记管理类别</w:t>
            </w:r>
            <w:r>
              <w:rPr>
                <w:rFonts w:ascii="Times New Roman" w:hAnsi="Times New Roman" w:cs="Times New Roman"/>
                <w:color w:val="auto"/>
                <w:szCs w:val="24"/>
                <w:lang w:eastAsia="zh-Hans"/>
              </w:rPr>
              <w:t>。</w:t>
            </w:r>
          </w:p>
          <w:p w14:paraId="1F095643">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1、项目的建设应切实履行配套的环境保护设施与主体工程同时设计、同时施工、同时投产使用的“三同时”制度。</w:t>
            </w:r>
          </w:p>
          <w:p w14:paraId="46DAA141">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2、应按有关法规的要求，严格执行排污许可制度，根据《固定污染源排污许可分类管理名录》（2019年版）办理相关排污许可手续。</w:t>
            </w:r>
          </w:p>
          <w:p w14:paraId="6C5D1CCB">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3、本项目配套建设的环境保护设施必须与主体工程同时建成和投产使用，并按规定程序实施竣工环境保护验收，验收合格方可投入生产。</w:t>
            </w:r>
          </w:p>
          <w:p w14:paraId="4A208C70">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4、项目的性质、规模、地点、采用的生产</w:t>
            </w:r>
            <w:r>
              <w:rPr>
                <w:rFonts w:hint="eastAsia" w:ascii="Times New Roman" w:hAnsi="Times New Roman" w:cs="Times New Roman"/>
                <w:color w:val="auto"/>
                <w:szCs w:val="24"/>
              </w:rPr>
              <w:t>.</w:t>
            </w:r>
            <w:r>
              <w:rPr>
                <w:rFonts w:ascii="Times New Roman" w:hAnsi="Times New Roman" w:cs="Times New Roman"/>
                <w:color w:val="auto"/>
                <w:szCs w:val="24"/>
              </w:rPr>
              <w:t>工艺或者防治污染、防止生态破坏的措施发生重大变动的应当重新报批环境影响报告表。自环评批复之日起超过5年，方决定项目开工建设的，其环境影响报告表应重新报批。</w:t>
            </w:r>
          </w:p>
          <w:p w14:paraId="0AAE2E51">
            <w:pPr>
              <w:keepNext/>
              <w:keepLines/>
              <w:adjustRightInd w:val="0"/>
              <w:snapToGrid w:val="0"/>
              <w:spacing w:line="240" w:lineRule="auto"/>
              <w:ind w:firstLine="0" w:firstLineChars="0"/>
              <w:rPr>
                <w:rFonts w:ascii="Times New Roman" w:hAnsi="Times New Roman" w:cs="Times New Roman"/>
                <w:color w:val="auto"/>
                <w:szCs w:val="24"/>
              </w:rPr>
            </w:pPr>
            <w:r>
              <w:rPr>
                <w:rFonts w:ascii="Times New Roman" w:hAnsi="Times New Roman" w:cs="Times New Roman"/>
                <w:color w:val="auto"/>
                <w:szCs w:val="24"/>
              </w:rPr>
              <w:t>5、企业应根据《关于做好生态环境和应急管理部门联动工作的意见》（苏环办</w:t>
            </w:r>
            <w:r>
              <w:rPr>
                <w:rFonts w:hint="eastAsia" w:ascii="Times New Roman" w:hAnsi="Times New Roman" w:cs="Times New Roman"/>
                <w:color w:val="auto"/>
                <w:szCs w:val="24"/>
              </w:rPr>
              <w:t>〔</w:t>
            </w:r>
            <w:r>
              <w:rPr>
                <w:rFonts w:ascii="Times New Roman" w:hAnsi="Times New Roman" w:cs="Times New Roman"/>
                <w:color w:val="auto"/>
                <w:szCs w:val="24"/>
              </w:rPr>
              <w:t>2020</w:t>
            </w:r>
            <w:r>
              <w:rPr>
                <w:rFonts w:hint="eastAsia" w:ascii="Times New Roman" w:hAnsi="Times New Roman" w:cs="Times New Roman"/>
                <w:color w:val="auto"/>
                <w:szCs w:val="24"/>
              </w:rPr>
              <w:t>〕</w:t>
            </w:r>
            <w:r>
              <w:rPr>
                <w:rFonts w:ascii="Times New Roman" w:hAnsi="Times New Roman" w:cs="Times New Roman"/>
                <w:color w:val="auto"/>
                <w:szCs w:val="24"/>
              </w:rPr>
              <w:t>101号），开展环保设施安全风险辨识，健全内部污染防治设施稳定运行和管理责任制度，严格依据标准规范建设环境治理设施，确保环境治理设施安全、稳定、有效运行。</w:t>
            </w:r>
          </w:p>
          <w:p w14:paraId="2EA3A327">
            <w:pPr>
              <w:keepNext/>
              <w:keepLines/>
              <w:adjustRightInd w:val="0"/>
              <w:snapToGrid w:val="0"/>
              <w:spacing w:line="240" w:lineRule="auto"/>
              <w:ind w:firstLine="0" w:firstLineChars="0"/>
              <w:rPr>
                <w:rFonts w:ascii="Times New Roman" w:hAnsi="Times New Roman" w:cs="Times New Roman"/>
                <w:color w:val="auto"/>
                <w:szCs w:val="24"/>
              </w:rPr>
            </w:pPr>
          </w:p>
        </w:tc>
      </w:tr>
    </w:tbl>
    <w:p w14:paraId="2F098910">
      <w:pPr>
        <w:pStyle w:val="21"/>
        <w:ind w:firstLine="600"/>
        <w:jc w:val="center"/>
        <w:outlineLvl w:val="0"/>
        <w:rPr>
          <w:rFonts w:ascii="Times New Roman" w:hAnsi="Times New Roman"/>
          <w:snapToGrid w:val="0"/>
          <w:color w:val="auto"/>
          <w:sz w:val="30"/>
          <w:szCs w:val="30"/>
        </w:rPr>
        <w:sectPr>
          <w:pgSz w:w="11906" w:h="16838"/>
          <w:pgMar w:top="1083" w:right="1800" w:bottom="1083" w:left="1800" w:header="851" w:footer="992" w:gutter="0"/>
          <w:cols w:space="720" w:num="1"/>
          <w:docGrid w:type="lines" w:linePitch="312" w:charSpace="0"/>
        </w:sectPr>
      </w:pPr>
    </w:p>
    <w:p w14:paraId="24EBC02D">
      <w:pPr>
        <w:pStyle w:val="21"/>
        <w:ind w:firstLine="600"/>
        <w:jc w:val="center"/>
        <w:outlineLvl w:val="0"/>
        <w:rPr>
          <w:rFonts w:ascii="Times New Roman" w:hAnsi="Times New Roman"/>
          <w:snapToGrid w:val="0"/>
          <w:color w:val="auto"/>
          <w:sz w:val="30"/>
          <w:szCs w:val="30"/>
        </w:rPr>
      </w:pPr>
      <w:r>
        <w:rPr>
          <w:rFonts w:ascii="Times New Roman" w:hAnsi="Times New Roman"/>
          <w:snapToGrid w:val="0"/>
          <w:color w:val="auto"/>
          <w:sz w:val="30"/>
          <w:szCs w:val="30"/>
        </w:rPr>
        <w:t>六、结论</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C97B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033839D8">
            <w:pPr>
              <w:ind w:firstLine="480"/>
              <w:rPr>
                <w:color w:val="auto"/>
              </w:rPr>
            </w:pPr>
            <w:r>
              <w:rPr>
                <w:color w:val="auto"/>
              </w:rPr>
              <w:t>本项目符合国家及地方现行产业政策，地址选择符合用地规划要求；项目生产过程中产生的污染在采取有效的治理措施之后，对周围环境影响较小，不会改变当地环境质量现状；同时本项目对周边环境产生的影响较小，事故风险水平可被接受。因此，从环保的角度出发，该项目在坚持环保“三同时”原则并按照本报告中提出的各项环保措施治理后对环境影响是可接受的。</w:t>
            </w:r>
          </w:p>
          <w:p w14:paraId="1F0FCF7D">
            <w:pPr>
              <w:ind w:firstLine="480"/>
              <w:rPr>
                <w:color w:val="auto"/>
              </w:rPr>
            </w:pPr>
          </w:p>
        </w:tc>
      </w:tr>
    </w:tbl>
    <w:p w14:paraId="4238260A">
      <w:pPr>
        <w:pStyle w:val="3"/>
        <w:numPr>
          <w:ilvl w:val="0"/>
          <w:numId w:val="0"/>
        </w:numPr>
        <w:spacing w:line="240" w:lineRule="auto"/>
        <w:rPr>
          <w:color w:val="auto"/>
          <w:szCs w:val="24"/>
        </w:rPr>
        <w:sectPr>
          <w:footerReference r:id="rId11" w:type="default"/>
          <w:pgSz w:w="11906" w:h="16838"/>
          <w:pgMar w:top="1083" w:right="1800" w:bottom="1083" w:left="1800" w:header="851" w:footer="992" w:gutter="0"/>
          <w:cols w:space="720" w:num="1"/>
          <w:docGrid w:type="lines" w:linePitch="312" w:charSpace="0"/>
        </w:sectPr>
      </w:pPr>
    </w:p>
    <w:p w14:paraId="2E1DD81A">
      <w:pPr>
        <w:pStyle w:val="3"/>
        <w:numPr>
          <w:ilvl w:val="0"/>
          <w:numId w:val="0"/>
        </w:numPr>
        <w:spacing w:line="240" w:lineRule="auto"/>
        <w:rPr>
          <w:color w:val="auto"/>
          <w:szCs w:val="24"/>
        </w:rPr>
      </w:pPr>
      <w:bookmarkStart w:id="5" w:name="_GoBack"/>
      <w:bookmarkEnd w:id="5"/>
      <w:r>
        <w:rPr>
          <w:color w:val="auto"/>
          <w:szCs w:val="24"/>
        </w:rPr>
        <mc:AlternateContent>
          <mc:Choice Requires="wps">
            <w:drawing>
              <wp:anchor distT="0" distB="0" distL="114300" distR="114300" simplePos="0" relativeHeight="251665408" behindDoc="0" locked="0" layoutInCell="1" allowOverlap="1">
                <wp:simplePos x="0" y="0"/>
                <wp:positionH relativeFrom="column">
                  <wp:posOffset>405130</wp:posOffset>
                </wp:positionH>
                <wp:positionV relativeFrom="paragraph">
                  <wp:posOffset>85725</wp:posOffset>
                </wp:positionV>
                <wp:extent cx="8273415" cy="5388610"/>
                <wp:effectExtent l="12700" t="12700" r="19685" b="27940"/>
                <wp:wrapNone/>
                <wp:docPr id="519" name="矩形 519"/>
                <wp:cNvGraphicFramePr/>
                <a:graphic xmlns:a="http://schemas.openxmlformats.org/drawingml/2006/main">
                  <a:graphicData uri="http://schemas.microsoft.com/office/word/2010/wordprocessingShape">
                    <wps:wsp>
                      <wps:cNvSpPr/>
                      <wps:spPr>
                        <a:xfrm>
                          <a:off x="0" y="0"/>
                          <a:ext cx="8273415" cy="538861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4C94534">
                            <w:pPr>
                              <w:ind w:firstLine="480"/>
                              <w:jc w:val="center"/>
                            </w:pPr>
                            <w:r>
                              <w:rPr/>
                              <w:drawing>
                                <wp:inline distT="0" distB="0" distL="114300" distR="114300">
                                  <wp:extent cx="5167630" cy="4603115"/>
                                  <wp:effectExtent l="0" t="0" r="13970" b="6985"/>
                                  <wp:docPr id="26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9"/>
                                          <pic:cNvPicPr>
                                            <a:picLocks noChangeAspect="1"/>
                                          </pic:cNvPicPr>
                                        </pic:nvPicPr>
                                        <pic:blipFill>
                                          <a:blip r:embed="rId24"/>
                                          <a:stretch>
                                            <a:fillRect/>
                                          </a:stretch>
                                        </pic:blipFill>
                                        <pic:spPr>
                                          <a:xfrm>
                                            <a:off x="0" y="0"/>
                                            <a:ext cx="5167630" cy="46031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9pt;margin-top:6.75pt;height:424.3pt;width:651.45pt;z-index:251665408;v-text-anchor:middle;mso-width-relative:page;mso-height-relative:page;" filled="f" stroked="t" coordsize="21600,21600" o:gfxdata="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3t29oAAAAKAQAADwAAAAAAAAABACAAAAAiAAAAZHJzL2Rvd25yZXYueG1s&#10;UEsBAhQAFAAAAAgAh07iQJITRZdoAgAAxAQAAA4AAAAAAAAAAQAgAAAAKQEAAGRycy9lMm9Eb2Mu&#10;eG1sUEsFBgAAAAAGAAYAWQEAAAMGAAAAAA==&#10;">
                <v:fill on="f" focussize="0,0"/>
                <v:stroke weight="2pt" color="#000000 [3213]" joinstyle="round"/>
                <v:imagedata o:title=""/>
                <o:lock v:ext="edit" aspectratio="f"/>
                <v:textbox>
                  <w:txbxContent>
                    <w:p w14:paraId="74C94534">
                      <w:pPr>
                        <w:ind w:firstLine="480"/>
                        <w:jc w:val="center"/>
                      </w:pPr>
                      <w:r>
                        <w:rPr/>
                        <w:drawing>
                          <wp:inline distT="0" distB="0" distL="114300" distR="114300">
                            <wp:extent cx="5167630" cy="4603115"/>
                            <wp:effectExtent l="0" t="0" r="13970" b="6985"/>
                            <wp:docPr id="26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9"/>
                                    <pic:cNvPicPr>
                                      <a:picLocks noChangeAspect="1"/>
                                    </pic:cNvPicPr>
                                  </pic:nvPicPr>
                                  <pic:blipFill>
                                    <a:blip r:embed="rId24"/>
                                    <a:stretch>
                                      <a:fillRect/>
                                    </a:stretch>
                                  </pic:blipFill>
                                  <pic:spPr>
                                    <a:xfrm>
                                      <a:off x="0" y="0"/>
                                      <a:ext cx="5167630" cy="4603115"/>
                                    </a:xfrm>
                                    <a:prstGeom prst="rect">
                                      <a:avLst/>
                                    </a:prstGeom>
                                    <a:noFill/>
                                    <a:ln>
                                      <a:noFill/>
                                    </a:ln>
                                  </pic:spPr>
                                </pic:pic>
                              </a:graphicData>
                            </a:graphic>
                          </wp:inline>
                        </w:drawing>
                      </w:r>
                    </w:p>
                  </w:txbxContent>
                </v:textbox>
              </v:rect>
            </w:pict>
          </mc:Fallback>
        </mc:AlternateContent>
      </w:r>
      <w:r>
        <w:rPr>
          <w:color w:val="auto"/>
          <w:szCs w:val="24"/>
        </w:rPr>
        <mc:AlternateContent>
          <mc:Choice Requires="wps">
            <w:drawing>
              <wp:anchor distT="0" distB="0" distL="114300" distR="114300" simplePos="0" relativeHeight="251666432" behindDoc="0" locked="0" layoutInCell="1" allowOverlap="1">
                <wp:simplePos x="0" y="0"/>
                <wp:positionH relativeFrom="column">
                  <wp:posOffset>1193165</wp:posOffset>
                </wp:positionH>
                <wp:positionV relativeFrom="paragraph">
                  <wp:posOffset>4980940</wp:posOffset>
                </wp:positionV>
                <wp:extent cx="7006590" cy="337820"/>
                <wp:effectExtent l="0" t="0" r="3810" b="5080"/>
                <wp:wrapNone/>
                <wp:docPr id="664" name="文本框 664"/>
                <wp:cNvGraphicFramePr/>
                <a:graphic xmlns:a="http://schemas.openxmlformats.org/drawingml/2006/main">
                  <a:graphicData uri="http://schemas.microsoft.com/office/word/2010/wordprocessingShape">
                    <wps:wsp>
                      <wps:cNvSpPr txBox="1"/>
                      <wps:spPr>
                        <a:xfrm>
                          <a:off x="0" y="0"/>
                          <a:ext cx="7006590" cy="337820"/>
                        </a:xfrm>
                        <a:prstGeom prst="rect">
                          <a:avLst/>
                        </a:prstGeom>
                        <a:solidFill>
                          <a:schemeClr val="accent3">
                            <a:lumMod val="60000"/>
                            <a:lumOff val="4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252D763B">
                            <w:pPr>
                              <w:spacing w:line="360" w:lineRule="exact"/>
                              <w:ind w:firstLine="562"/>
                              <w:jc w:val="center"/>
                              <w:rPr>
                                <w:b/>
                                <w:sz w:val="28"/>
                                <w:szCs w:val="28"/>
                              </w:rPr>
                            </w:pPr>
                            <w:r>
                              <w:rPr>
                                <w:rFonts w:hint="eastAsia"/>
                                <w:b/>
                                <w:sz w:val="28"/>
                                <w:szCs w:val="28"/>
                              </w:rPr>
                              <w:t>附图5厂界周围500米土地利用现状图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95pt;margin-top:392.2pt;height:26.6pt;width:551.7pt;z-index:251666432;mso-width-relative:page;mso-height-relative:page;" fillcolor="#C3D69B [1942]" filled="t" stroked="f" coordsize="21600,21600" o:gfxdata="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lP8MhtoAAAAMAQAADwAAAAAAAAABACAAAAAiAAAAZHJzL2Rvd25y&#10;ZXYueG1sUEsBAhQAFAAAAAgAh07iQD9I/wduAgAAzAQAAA4AAAAAAAAAAQAgAAAAKQEAAGRycy9l&#10;Mm9Eb2MueG1sUEsFBgAAAAAGAAYAWQEAAAkGAAAAAA==&#10;">
                <v:fill on="t" focussize="0,0"/>
                <v:stroke on="f" weight="0.5pt"/>
                <v:imagedata o:title=""/>
                <o:lock v:ext="edit" aspectratio="f"/>
                <v:textbox>
                  <w:txbxContent>
                    <w:p w14:paraId="252D763B">
                      <w:pPr>
                        <w:spacing w:line="360" w:lineRule="exact"/>
                        <w:ind w:firstLine="562"/>
                        <w:jc w:val="center"/>
                        <w:rPr>
                          <w:b/>
                          <w:sz w:val="28"/>
                          <w:szCs w:val="28"/>
                        </w:rPr>
                      </w:pPr>
                      <w:r>
                        <w:rPr>
                          <w:rFonts w:hint="eastAsia"/>
                          <w:b/>
                          <w:sz w:val="28"/>
                          <w:szCs w:val="28"/>
                        </w:rPr>
                        <w:t>附图5厂界周围500米土地利用现状图</w:t>
                      </w:r>
                    </w:p>
                  </w:txbxContent>
                </v:textbox>
              </v:shape>
            </w:pict>
          </mc:Fallback>
        </mc:AlternateContent>
      </w:r>
    </w:p>
    <w:sectPr>
      <w:pgSz w:w="16838" w:h="11906" w:orient="landscape"/>
      <w:pgMar w:top="1800" w:right="1083" w:bottom="1800" w:left="108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94EDE7E4-4BF9-4556-BAE2-6B377DCBAB5F}"/>
  </w:font>
  <w:font w:name="Arial Black">
    <w:panose1 w:val="020B0A04020102020204"/>
    <w:charset w:val="00"/>
    <w:family w:val="swiss"/>
    <w:pitch w:val="default"/>
    <w:sig w:usb0="A00002AF" w:usb1="400078FB" w:usb2="00000000" w:usb3="00000000" w:csb0="6000009F" w:csb1="DFD70000"/>
  </w:font>
  <w:font w:name="T">
    <w:altName w:val="Calibr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仿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2" w:fontKey="{651EC49D-5D91-4DFA-8D1E-48AD6E17E9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FE7E">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40D0">
    <w:pPr>
      <w:pStyle w:val="16"/>
      <w:framePr w:wrap="around" w:vAnchor="text" w:hAnchor="margin" w:xAlign="center" w:y="1"/>
      <w:ind w:firstLine="360"/>
      <w:rPr>
        <w:rStyle w:val="32"/>
      </w:rPr>
    </w:pPr>
    <w:r>
      <w:fldChar w:fldCharType="begin"/>
    </w:r>
    <w:r>
      <w:rPr>
        <w:rStyle w:val="32"/>
      </w:rPr>
      <w:instrText xml:space="preserve">PAGE  </w:instrText>
    </w:r>
    <w:r>
      <w:fldChar w:fldCharType="end"/>
    </w:r>
  </w:p>
  <w:p w14:paraId="1B853F69">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B1B45">
    <w:pPr>
      <w:pStyle w:val="16"/>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074CB">
                          <w:pPr>
                            <w:pStyle w:val="16"/>
                            <w:ind w:firstLine="360"/>
                            <w:jc w:val="both"/>
                          </w:pPr>
                          <w:r>
                            <w:t xml:space="preserv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B074CB">
                    <w:pPr>
                      <w:pStyle w:val="16"/>
                      <w:ind w:firstLine="360"/>
                      <w:jc w:val="both"/>
                    </w:pPr>
                    <w:r>
                      <w:t xml:space="preserv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52D1">
    <w:pPr>
      <w:pStyle w:val="16"/>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50A83">
                          <w:pPr>
                            <w:pStyle w:val="16"/>
                            <w:ind w:firstLine="360"/>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48</w:t>
                          </w:r>
                          <w:r>
                            <w:rPr>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150A83">
                    <w:pPr>
                      <w:pStyle w:val="16"/>
                      <w:ind w:firstLine="360"/>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48</w:t>
                    </w:r>
                    <w:r>
                      <w:rPr>
                        <w:sz w:val="21"/>
                        <w:szCs w:val="21"/>
                      </w:rPr>
                      <w:fldChar w:fldCharType="end"/>
                    </w:r>
                    <w:r>
                      <w:rPr>
                        <w:sz w:val="21"/>
                        <w:szCs w:val="21"/>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F980">
    <w:pPr>
      <w:pStyle w:val="16"/>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13C9">
                          <w:pPr>
                            <w:pStyle w:val="16"/>
                            <w:ind w:firstLine="420"/>
                            <w:rPr>
                              <w:rStyle w:val="32"/>
                              <w:sz w:val="21"/>
                              <w:szCs w:val="21"/>
                            </w:rPr>
                          </w:pPr>
                          <w:r>
                            <w:rPr>
                              <w:rStyle w:val="32"/>
                              <w:sz w:val="21"/>
                              <w:szCs w:val="21"/>
                            </w:rPr>
                            <w:t xml:space="preserve">—  </w:t>
                          </w:r>
                          <w:r>
                            <w:rPr>
                              <w:sz w:val="21"/>
                              <w:szCs w:val="21"/>
                            </w:rPr>
                            <w:fldChar w:fldCharType="begin"/>
                          </w:r>
                          <w:r>
                            <w:rPr>
                              <w:rStyle w:val="32"/>
                              <w:sz w:val="21"/>
                              <w:szCs w:val="21"/>
                            </w:rPr>
                            <w:instrText xml:space="preserve">PAGE  </w:instrText>
                          </w:r>
                          <w:r>
                            <w:rPr>
                              <w:sz w:val="21"/>
                              <w:szCs w:val="21"/>
                            </w:rPr>
                            <w:fldChar w:fldCharType="separate"/>
                          </w:r>
                          <w:r>
                            <w:rPr>
                              <w:rStyle w:val="32"/>
                              <w:sz w:val="21"/>
                              <w:szCs w:val="21"/>
                            </w:rPr>
                            <w:t>78</w:t>
                          </w:r>
                          <w:r>
                            <w:rPr>
                              <w:sz w:val="21"/>
                              <w:szCs w:val="21"/>
                            </w:rPr>
                            <w:fldChar w:fldCharType="end"/>
                          </w:r>
                          <w:r>
                            <w:rPr>
                              <w:rStyle w:val="32"/>
                              <w:sz w:val="21"/>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EZ1MQBAACR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v31DiuMWRn398P//8ff71&#10;jWQnStQHqDHzPmBuGt76ARdn9gM6M/NBRZu/yIlgHAU+XQSWQyIiP1otV6sKQwJj8wXx2cPzECG9&#10;k96SbDQ04gSLsPz4AdKYOqfkas7faWPKFI37x4GY2cNy72OP2UrDbpgI7Xx7Qj49Dr+hDnedEvPe&#10;obZ5T2YjzsZuMnINCLeHhIVLPxl1hJqK4aQKo2mr8ir8fS9ZD3/S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gEZ1MQBAACRAwAADgAAAAAAAAABACAAAAAeAQAAZHJzL2Uyb0RvYy54bWxQ&#10;SwUGAAAAAAYABgBZAQAAVAUAAAAA&#10;">
              <v:fill on="f" focussize="0,0"/>
              <v:stroke on="f"/>
              <v:imagedata o:title=""/>
              <o:lock v:ext="edit" aspectratio="f"/>
              <v:textbox inset="0mm,0mm,0mm,0mm" style="mso-fit-shape-to-text:t;">
                <w:txbxContent>
                  <w:p w14:paraId="5F5213C9">
                    <w:pPr>
                      <w:pStyle w:val="16"/>
                      <w:ind w:firstLine="420"/>
                      <w:rPr>
                        <w:rStyle w:val="32"/>
                        <w:sz w:val="21"/>
                        <w:szCs w:val="21"/>
                      </w:rPr>
                    </w:pPr>
                    <w:r>
                      <w:rPr>
                        <w:rStyle w:val="32"/>
                        <w:sz w:val="21"/>
                        <w:szCs w:val="21"/>
                      </w:rPr>
                      <w:t xml:space="preserve">—  </w:t>
                    </w:r>
                    <w:r>
                      <w:rPr>
                        <w:sz w:val="21"/>
                        <w:szCs w:val="21"/>
                      </w:rPr>
                      <w:fldChar w:fldCharType="begin"/>
                    </w:r>
                    <w:r>
                      <w:rPr>
                        <w:rStyle w:val="32"/>
                        <w:sz w:val="21"/>
                        <w:szCs w:val="21"/>
                      </w:rPr>
                      <w:instrText xml:space="preserve">PAGE  </w:instrText>
                    </w:r>
                    <w:r>
                      <w:rPr>
                        <w:sz w:val="21"/>
                        <w:szCs w:val="21"/>
                      </w:rPr>
                      <w:fldChar w:fldCharType="separate"/>
                    </w:r>
                    <w:r>
                      <w:rPr>
                        <w:rStyle w:val="32"/>
                        <w:sz w:val="21"/>
                        <w:szCs w:val="21"/>
                      </w:rPr>
                      <w:t>78</w:t>
                    </w:r>
                    <w:r>
                      <w:rPr>
                        <w:sz w:val="21"/>
                        <w:szCs w:val="21"/>
                      </w:rPr>
                      <w:fldChar w:fldCharType="end"/>
                    </w:r>
                    <w:r>
                      <w:rPr>
                        <w:rStyle w:val="32"/>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1153">
    <w:pPr>
      <w:pStyle w:val="1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D294">
    <w:pPr>
      <w:pStyle w:val="17"/>
      <w:pBdr>
        <w:bottom w:val="none" w:color="auto" w:sz="0" w:space="1"/>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1EFF7"/>
    <w:multiLevelType w:val="singleLevel"/>
    <w:tmpl w:val="D491EFF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5"/>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39F3220F"/>
    <w:multiLevelType w:val="singleLevel"/>
    <w:tmpl w:val="39F3220F"/>
    <w:lvl w:ilvl="0" w:tentative="0">
      <w:start w:val="1"/>
      <w:numFmt w:val="decimal"/>
      <w:suff w:val="nothing"/>
      <w:lvlText w:val="（%1）"/>
      <w:lvlJc w:val="left"/>
    </w:lvl>
  </w:abstractNum>
  <w:abstractNum w:abstractNumId="3">
    <w:nsid w:val="72DBF06A"/>
    <w:multiLevelType w:val="singleLevel"/>
    <w:tmpl w:val="72DBF06A"/>
    <w:lvl w:ilvl="0" w:tentative="0">
      <w:start w:val="1"/>
      <w:numFmt w:val="lowerLetter"/>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21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NmYxNWY5MjQzMzM3Y2I5MjFkZTQxZjJlZWFmODAifQ=="/>
  </w:docVars>
  <w:rsids>
    <w:rsidRoot w:val="498B18F3"/>
    <w:rsid w:val="00044CB8"/>
    <w:rsid w:val="00052D99"/>
    <w:rsid w:val="00053AB6"/>
    <w:rsid w:val="00076791"/>
    <w:rsid w:val="0008155C"/>
    <w:rsid w:val="0011401C"/>
    <w:rsid w:val="0012490A"/>
    <w:rsid w:val="00125E76"/>
    <w:rsid w:val="00156208"/>
    <w:rsid w:val="00156D55"/>
    <w:rsid w:val="0018781D"/>
    <w:rsid w:val="001C1030"/>
    <w:rsid w:val="001D707A"/>
    <w:rsid w:val="0023132E"/>
    <w:rsid w:val="00271A19"/>
    <w:rsid w:val="002C2718"/>
    <w:rsid w:val="003004BE"/>
    <w:rsid w:val="00330BBB"/>
    <w:rsid w:val="003657B6"/>
    <w:rsid w:val="00423C6D"/>
    <w:rsid w:val="00452AB9"/>
    <w:rsid w:val="00476CDA"/>
    <w:rsid w:val="00483424"/>
    <w:rsid w:val="004A3FBA"/>
    <w:rsid w:val="00525FAD"/>
    <w:rsid w:val="00532BD1"/>
    <w:rsid w:val="00535F2E"/>
    <w:rsid w:val="00566599"/>
    <w:rsid w:val="00566AF4"/>
    <w:rsid w:val="00587B32"/>
    <w:rsid w:val="00597DDE"/>
    <w:rsid w:val="005D6205"/>
    <w:rsid w:val="00603D4B"/>
    <w:rsid w:val="00611F50"/>
    <w:rsid w:val="0062332D"/>
    <w:rsid w:val="00642FC3"/>
    <w:rsid w:val="0067722F"/>
    <w:rsid w:val="006C189E"/>
    <w:rsid w:val="006C7947"/>
    <w:rsid w:val="006D7E02"/>
    <w:rsid w:val="00745BDF"/>
    <w:rsid w:val="0078753A"/>
    <w:rsid w:val="007B356E"/>
    <w:rsid w:val="007D2518"/>
    <w:rsid w:val="008154FA"/>
    <w:rsid w:val="0086735E"/>
    <w:rsid w:val="008A2B4B"/>
    <w:rsid w:val="008B2D00"/>
    <w:rsid w:val="008C0BCC"/>
    <w:rsid w:val="0096521C"/>
    <w:rsid w:val="009B59DA"/>
    <w:rsid w:val="009D71D2"/>
    <w:rsid w:val="00A20B10"/>
    <w:rsid w:val="00A22F46"/>
    <w:rsid w:val="00A26C74"/>
    <w:rsid w:val="00A91079"/>
    <w:rsid w:val="00AA5343"/>
    <w:rsid w:val="00AB1552"/>
    <w:rsid w:val="00AB5AA7"/>
    <w:rsid w:val="00B01194"/>
    <w:rsid w:val="00B1426D"/>
    <w:rsid w:val="00B54372"/>
    <w:rsid w:val="00B6296F"/>
    <w:rsid w:val="00B967F3"/>
    <w:rsid w:val="00BA17F8"/>
    <w:rsid w:val="00C07C54"/>
    <w:rsid w:val="00C15EE0"/>
    <w:rsid w:val="00C24360"/>
    <w:rsid w:val="00C26DF4"/>
    <w:rsid w:val="00C35395"/>
    <w:rsid w:val="00C7172B"/>
    <w:rsid w:val="00CA17C4"/>
    <w:rsid w:val="00CA5A84"/>
    <w:rsid w:val="00CB3D3E"/>
    <w:rsid w:val="00CB7E6E"/>
    <w:rsid w:val="00CC74F9"/>
    <w:rsid w:val="00CD4C47"/>
    <w:rsid w:val="00D26D9F"/>
    <w:rsid w:val="00D308E7"/>
    <w:rsid w:val="00D31919"/>
    <w:rsid w:val="00D360FF"/>
    <w:rsid w:val="00DA18E9"/>
    <w:rsid w:val="00DB2752"/>
    <w:rsid w:val="00DC45CC"/>
    <w:rsid w:val="00DE7CF4"/>
    <w:rsid w:val="00E05E32"/>
    <w:rsid w:val="00E47A0E"/>
    <w:rsid w:val="00E67E75"/>
    <w:rsid w:val="00E81EFA"/>
    <w:rsid w:val="00EA518D"/>
    <w:rsid w:val="00ED0103"/>
    <w:rsid w:val="00ED795A"/>
    <w:rsid w:val="00EE47D0"/>
    <w:rsid w:val="00F25B75"/>
    <w:rsid w:val="00F30251"/>
    <w:rsid w:val="00F6791C"/>
    <w:rsid w:val="00F73033"/>
    <w:rsid w:val="00F7742D"/>
    <w:rsid w:val="00F87D07"/>
    <w:rsid w:val="00FB0C11"/>
    <w:rsid w:val="00FD113E"/>
    <w:rsid w:val="00FE2450"/>
    <w:rsid w:val="00FF6B79"/>
    <w:rsid w:val="01035A29"/>
    <w:rsid w:val="010613AE"/>
    <w:rsid w:val="01570FC8"/>
    <w:rsid w:val="017D69F5"/>
    <w:rsid w:val="01867235"/>
    <w:rsid w:val="018C3955"/>
    <w:rsid w:val="01AB2F52"/>
    <w:rsid w:val="01BF2ECA"/>
    <w:rsid w:val="01D0771E"/>
    <w:rsid w:val="02151639"/>
    <w:rsid w:val="02DF39F5"/>
    <w:rsid w:val="03136459"/>
    <w:rsid w:val="031B2C7F"/>
    <w:rsid w:val="038A3F9E"/>
    <w:rsid w:val="038D1059"/>
    <w:rsid w:val="03920A67"/>
    <w:rsid w:val="03DE4B75"/>
    <w:rsid w:val="03FA6D38"/>
    <w:rsid w:val="03FC3846"/>
    <w:rsid w:val="04161C22"/>
    <w:rsid w:val="04C21E74"/>
    <w:rsid w:val="0557339A"/>
    <w:rsid w:val="055B3C97"/>
    <w:rsid w:val="05654685"/>
    <w:rsid w:val="05693DC6"/>
    <w:rsid w:val="05836C6D"/>
    <w:rsid w:val="05944DA5"/>
    <w:rsid w:val="059D5FC8"/>
    <w:rsid w:val="05C97C57"/>
    <w:rsid w:val="05D2028F"/>
    <w:rsid w:val="0604098A"/>
    <w:rsid w:val="06475B39"/>
    <w:rsid w:val="06856661"/>
    <w:rsid w:val="07B115DD"/>
    <w:rsid w:val="07E81525"/>
    <w:rsid w:val="07FA0F80"/>
    <w:rsid w:val="081A4FDF"/>
    <w:rsid w:val="08420CAE"/>
    <w:rsid w:val="084F33CB"/>
    <w:rsid w:val="089D4136"/>
    <w:rsid w:val="08BC3CA1"/>
    <w:rsid w:val="08BD20E2"/>
    <w:rsid w:val="08C40A10"/>
    <w:rsid w:val="08C47915"/>
    <w:rsid w:val="08D52DF5"/>
    <w:rsid w:val="092C3A18"/>
    <w:rsid w:val="09540C99"/>
    <w:rsid w:val="09594501"/>
    <w:rsid w:val="09627775"/>
    <w:rsid w:val="097C041A"/>
    <w:rsid w:val="09806177"/>
    <w:rsid w:val="09A3577C"/>
    <w:rsid w:val="09A57411"/>
    <w:rsid w:val="0A081A83"/>
    <w:rsid w:val="0A1421D6"/>
    <w:rsid w:val="0A757F83"/>
    <w:rsid w:val="0A826929"/>
    <w:rsid w:val="0A9A0F48"/>
    <w:rsid w:val="0AEE4620"/>
    <w:rsid w:val="0AFB5144"/>
    <w:rsid w:val="0B3B2B0D"/>
    <w:rsid w:val="0BA22867"/>
    <w:rsid w:val="0C1922A5"/>
    <w:rsid w:val="0C763AB9"/>
    <w:rsid w:val="0CB06204"/>
    <w:rsid w:val="0CC520B8"/>
    <w:rsid w:val="0D2145A0"/>
    <w:rsid w:val="0D307505"/>
    <w:rsid w:val="0D4234FE"/>
    <w:rsid w:val="0D446929"/>
    <w:rsid w:val="0D4D37EE"/>
    <w:rsid w:val="0D726C46"/>
    <w:rsid w:val="0D8F2854"/>
    <w:rsid w:val="0DD71E98"/>
    <w:rsid w:val="0DE95FB3"/>
    <w:rsid w:val="0E077174"/>
    <w:rsid w:val="0E2D7D0A"/>
    <w:rsid w:val="0E492C4F"/>
    <w:rsid w:val="0E543DF2"/>
    <w:rsid w:val="0E653000"/>
    <w:rsid w:val="0E9D7E6D"/>
    <w:rsid w:val="0F387569"/>
    <w:rsid w:val="0F5F2CD3"/>
    <w:rsid w:val="0F6A15A7"/>
    <w:rsid w:val="0F8F0FD0"/>
    <w:rsid w:val="0FA62B5E"/>
    <w:rsid w:val="0FF605DE"/>
    <w:rsid w:val="1043440B"/>
    <w:rsid w:val="1085508B"/>
    <w:rsid w:val="109F0DDB"/>
    <w:rsid w:val="10C47E49"/>
    <w:rsid w:val="11034D52"/>
    <w:rsid w:val="110447CC"/>
    <w:rsid w:val="110F154A"/>
    <w:rsid w:val="114E0485"/>
    <w:rsid w:val="119500A0"/>
    <w:rsid w:val="11B138C8"/>
    <w:rsid w:val="11E20E0C"/>
    <w:rsid w:val="122B033A"/>
    <w:rsid w:val="124725CB"/>
    <w:rsid w:val="128C41E5"/>
    <w:rsid w:val="12A04150"/>
    <w:rsid w:val="12A22D09"/>
    <w:rsid w:val="12EA53EB"/>
    <w:rsid w:val="1315618D"/>
    <w:rsid w:val="133C549C"/>
    <w:rsid w:val="1343245A"/>
    <w:rsid w:val="136C7750"/>
    <w:rsid w:val="137220F3"/>
    <w:rsid w:val="13784273"/>
    <w:rsid w:val="13B83CFB"/>
    <w:rsid w:val="13E42A49"/>
    <w:rsid w:val="13ED3ECF"/>
    <w:rsid w:val="140E544C"/>
    <w:rsid w:val="1420115E"/>
    <w:rsid w:val="1420419D"/>
    <w:rsid w:val="14665D24"/>
    <w:rsid w:val="14830684"/>
    <w:rsid w:val="14B030CA"/>
    <w:rsid w:val="14BF04A1"/>
    <w:rsid w:val="14F807FC"/>
    <w:rsid w:val="153613FF"/>
    <w:rsid w:val="155F11DF"/>
    <w:rsid w:val="15B8610B"/>
    <w:rsid w:val="15B94A0F"/>
    <w:rsid w:val="15BF393E"/>
    <w:rsid w:val="15D21732"/>
    <w:rsid w:val="1635775C"/>
    <w:rsid w:val="166208F3"/>
    <w:rsid w:val="167969DD"/>
    <w:rsid w:val="167E3E6E"/>
    <w:rsid w:val="16A840DB"/>
    <w:rsid w:val="16BF796D"/>
    <w:rsid w:val="16C16DD4"/>
    <w:rsid w:val="16E03EB6"/>
    <w:rsid w:val="16F152D0"/>
    <w:rsid w:val="16F77107"/>
    <w:rsid w:val="170254C0"/>
    <w:rsid w:val="1702724C"/>
    <w:rsid w:val="170712EC"/>
    <w:rsid w:val="173A2217"/>
    <w:rsid w:val="17716EB9"/>
    <w:rsid w:val="177B5D68"/>
    <w:rsid w:val="17870992"/>
    <w:rsid w:val="17FD6265"/>
    <w:rsid w:val="183821E2"/>
    <w:rsid w:val="18593A0A"/>
    <w:rsid w:val="18932754"/>
    <w:rsid w:val="189C5D59"/>
    <w:rsid w:val="18A20923"/>
    <w:rsid w:val="18F5182E"/>
    <w:rsid w:val="19094ED0"/>
    <w:rsid w:val="190A06E1"/>
    <w:rsid w:val="190B1D50"/>
    <w:rsid w:val="191132CF"/>
    <w:rsid w:val="19113792"/>
    <w:rsid w:val="19661BF1"/>
    <w:rsid w:val="197131A1"/>
    <w:rsid w:val="19724072"/>
    <w:rsid w:val="19BB0FC4"/>
    <w:rsid w:val="1A2D13C0"/>
    <w:rsid w:val="1A620757"/>
    <w:rsid w:val="1AA810C8"/>
    <w:rsid w:val="1AA94BBC"/>
    <w:rsid w:val="1ABE2E1F"/>
    <w:rsid w:val="1AF138C3"/>
    <w:rsid w:val="1B045552"/>
    <w:rsid w:val="1B271224"/>
    <w:rsid w:val="1B38452B"/>
    <w:rsid w:val="1B426501"/>
    <w:rsid w:val="1B7E43A7"/>
    <w:rsid w:val="1B9C6460"/>
    <w:rsid w:val="1BE51C24"/>
    <w:rsid w:val="1C025334"/>
    <w:rsid w:val="1C0C1DA0"/>
    <w:rsid w:val="1C293D14"/>
    <w:rsid w:val="1C335F68"/>
    <w:rsid w:val="1C4B5298"/>
    <w:rsid w:val="1C4F2A0E"/>
    <w:rsid w:val="1C874A89"/>
    <w:rsid w:val="1CAD765E"/>
    <w:rsid w:val="1CCC72C5"/>
    <w:rsid w:val="1CCD20B8"/>
    <w:rsid w:val="1D37200B"/>
    <w:rsid w:val="1D4433C0"/>
    <w:rsid w:val="1D6B0F5B"/>
    <w:rsid w:val="1D6F406F"/>
    <w:rsid w:val="1D7019C1"/>
    <w:rsid w:val="1D9508C5"/>
    <w:rsid w:val="1DA358F3"/>
    <w:rsid w:val="1E077654"/>
    <w:rsid w:val="1E553655"/>
    <w:rsid w:val="1EAA4A5F"/>
    <w:rsid w:val="1EC026D9"/>
    <w:rsid w:val="1EC43D73"/>
    <w:rsid w:val="1EC65D3D"/>
    <w:rsid w:val="1F003B9F"/>
    <w:rsid w:val="1F0959E6"/>
    <w:rsid w:val="1F577489"/>
    <w:rsid w:val="1F6A27B9"/>
    <w:rsid w:val="1F784E52"/>
    <w:rsid w:val="1F903C55"/>
    <w:rsid w:val="1FC67B22"/>
    <w:rsid w:val="1FE93B5B"/>
    <w:rsid w:val="201E3957"/>
    <w:rsid w:val="20445384"/>
    <w:rsid w:val="20582B99"/>
    <w:rsid w:val="206C021E"/>
    <w:rsid w:val="206F1016"/>
    <w:rsid w:val="20825C93"/>
    <w:rsid w:val="20CF4C51"/>
    <w:rsid w:val="20DE7E97"/>
    <w:rsid w:val="20ED5979"/>
    <w:rsid w:val="20FF5CBF"/>
    <w:rsid w:val="211E3870"/>
    <w:rsid w:val="21224D81"/>
    <w:rsid w:val="2127683B"/>
    <w:rsid w:val="213A696B"/>
    <w:rsid w:val="213F65FE"/>
    <w:rsid w:val="217139BF"/>
    <w:rsid w:val="217461C6"/>
    <w:rsid w:val="217E1DB6"/>
    <w:rsid w:val="21823A71"/>
    <w:rsid w:val="2185143F"/>
    <w:rsid w:val="21920880"/>
    <w:rsid w:val="21B55BF5"/>
    <w:rsid w:val="21CF536C"/>
    <w:rsid w:val="21F6526D"/>
    <w:rsid w:val="2220303C"/>
    <w:rsid w:val="224A0810"/>
    <w:rsid w:val="226D063F"/>
    <w:rsid w:val="22885DA6"/>
    <w:rsid w:val="22AB4DEF"/>
    <w:rsid w:val="22BC5CA8"/>
    <w:rsid w:val="22C320EF"/>
    <w:rsid w:val="22D74ED1"/>
    <w:rsid w:val="22D96130"/>
    <w:rsid w:val="22EB5B24"/>
    <w:rsid w:val="22F438FC"/>
    <w:rsid w:val="22FE72AA"/>
    <w:rsid w:val="23081905"/>
    <w:rsid w:val="23090E8E"/>
    <w:rsid w:val="232B0A67"/>
    <w:rsid w:val="2338708A"/>
    <w:rsid w:val="233C163A"/>
    <w:rsid w:val="238D18F2"/>
    <w:rsid w:val="238E79BF"/>
    <w:rsid w:val="23A128D5"/>
    <w:rsid w:val="23AF726E"/>
    <w:rsid w:val="23D762F6"/>
    <w:rsid w:val="241529BC"/>
    <w:rsid w:val="24664BFB"/>
    <w:rsid w:val="24C0764C"/>
    <w:rsid w:val="24C525F3"/>
    <w:rsid w:val="24DB7E89"/>
    <w:rsid w:val="24F363FF"/>
    <w:rsid w:val="24F66C50"/>
    <w:rsid w:val="25031FF3"/>
    <w:rsid w:val="253D265B"/>
    <w:rsid w:val="25445C0D"/>
    <w:rsid w:val="25554DAF"/>
    <w:rsid w:val="256865DD"/>
    <w:rsid w:val="257858B7"/>
    <w:rsid w:val="25D25DE5"/>
    <w:rsid w:val="26003C90"/>
    <w:rsid w:val="26573321"/>
    <w:rsid w:val="265A0E7C"/>
    <w:rsid w:val="26606A77"/>
    <w:rsid w:val="267B575B"/>
    <w:rsid w:val="267D1197"/>
    <w:rsid w:val="268D7140"/>
    <w:rsid w:val="26E21511"/>
    <w:rsid w:val="270B7724"/>
    <w:rsid w:val="27A06A9D"/>
    <w:rsid w:val="284C7D86"/>
    <w:rsid w:val="28564751"/>
    <w:rsid w:val="2865717F"/>
    <w:rsid w:val="286B1703"/>
    <w:rsid w:val="288602EB"/>
    <w:rsid w:val="28BC68C6"/>
    <w:rsid w:val="28F26517"/>
    <w:rsid w:val="290C1B1A"/>
    <w:rsid w:val="29191B8B"/>
    <w:rsid w:val="2997606E"/>
    <w:rsid w:val="29AC3EB0"/>
    <w:rsid w:val="29B86116"/>
    <w:rsid w:val="29C25353"/>
    <w:rsid w:val="29C926FC"/>
    <w:rsid w:val="2A15313D"/>
    <w:rsid w:val="2A232C2C"/>
    <w:rsid w:val="2A3C5105"/>
    <w:rsid w:val="2A44045E"/>
    <w:rsid w:val="2A481CFC"/>
    <w:rsid w:val="2A4D7312"/>
    <w:rsid w:val="2A6F00C4"/>
    <w:rsid w:val="2AE16896"/>
    <w:rsid w:val="2B0830B5"/>
    <w:rsid w:val="2BA900BB"/>
    <w:rsid w:val="2BB313F7"/>
    <w:rsid w:val="2BCB2591"/>
    <w:rsid w:val="2C3B4BD9"/>
    <w:rsid w:val="2C4C52E6"/>
    <w:rsid w:val="2C701096"/>
    <w:rsid w:val="2C800AFF"/>
    <w:rsid w:val="2CA174A1"/>
    <w:rsid w:val="2CCB451E"/>
    <w:rsid w:val="2CD36493"/>
    <w:rsid w:val="2CDD6A28"/>
    <w:rsid w:val="2CF17BCF"/>
    <w:rsid w:val="2D2325AC"/>
    <w:rsid w:val="2D236108"/>
    <w:rsid w:val="2D2F2E72"/>
    <w:rsid w:val="2D7E3C87"/>
    <w:rsid w:val="2DDD4BCE"/>
    <w:rsid w:val="2E640DD2"/>
    <w:rsid w:val="2E7C4F9A"/>
    <w:rsid w:val="2EE67596"/>
    <w:rsid w:val="2F155F25"/>
    <w:rsid w:val="2F687E17"/>
    <w:rsid w:val="2F6D0647"/>
    <w:rsid w:val="2F7B1828"/>
    <w:rsid w:val="2FB8718A"/>
    <w:rsid w:val="2FC3122C"/>
    <w:rsid w:val="2FED14FE"/>
    <w:rsid w:val="300D4AF1"/>
    <w:rsid w:val="306453B6"/>
    <w:rsid w:val="30865B3B"/>
    <w:rsid w:val="30A1136B"/>
    <w:rsid w:val="30B33AE7"/>
    <w:rsid w:val="30B72DCA"/>
    <w:rsid w:val="30CA36B8"/>
    <w:rsid w:val="311C1421"/>
    <w:rsid w:val="311F22C5"/>
    <w:rsid w:val="31226775"/>
    <w:rsid w:val="31382137"/>
    <w:rsid w:val="313F54DB"/>
    <w:rsid w:val="31820AE0"/>
    <w:rsid w:val="31AD68E8"/>
    <w:rsid w:val="31D83A75"/>
    <w:rsid w:val="31F37CDC"/>
    <w:rsid w:val="321F4BB3"/>
    <w:rsid w:val="32260E5E"/>
    <w:rsid w:val="322D4367"/>
    <w:rsid w:val="323C1723"/>
    <w:rsid w:val="32870EE7"/>
    <w:rsid w:val="32AC2EC7"/>
    <w:rsid w:val="33395633"/>
    <w:rsid w:val="336E39B0"/>
    <w:rsid w:val="33791178"/>
    <w:rsid w:val="33A52379"/>
    <w:rsid w:val="33C36CDC"/>
    <w:rsid w:val="33F928D4"/>
    <w:rsid w:val="34242218"/>
    <w:rsid w:val="34702697"/>
    <w:rsid w:val="34781430"/>
    <w:rsid w:val="34880F47"/>
    <w:rsid w:val="34AD22A5"/>
    <w:rsid w:val="34B87A7E"/>
    <w:rsid w:val="34EE45F0"/>
    <w:rsid w:val="35086463"/>
    <w:rsid w:val="35145492"/>
    <w:rsid w:val="35336AFA"/>
    <w:rsid w:val="353C71E4"/>
    <w:rsid w:val="35432D26"/>
    <w:rsid w:val="355C21DA"/>
    <w:rsid w:val="35E84393"/>
    <w:rsid w:val="35FA3B2E"/>
    <w:rsid w:val="36167AF4"/>
    <w:rsid w:val="368C4D1E"/>
    <w:rsid w:val="36947262"/>
    <w:rsid w:val="36A25C21"/>
    <w:rsid w:val="36A45F4E"/>
    <w:rsid w:val="36C12B46"/>
    <w:rsid w:val="36E52EFD"/>
    <w:rsid w:val="37015D30"/>
    <w:rsid w:val="37024640"/>
    <w:rsid w:val="370B7B27"/>
    <w:rsid w:val="37185E0A"/>
    <w:rsid w:val="37502BB5"/>
    <w:rsid w:val="37626A7F"/>
    <w:rsid w:val="37753A04"/>
    <w:rsid w:val="378F51B7"/>
    <w:rsid w:val="37BB0E12"/>
    <w:rsid w:val="37C32A37"/>
    <w:rsid w:val="37CB365E"/>
    <w:rsid w:val="37E96C9E"/>
    <w:rsid w:val="38161712"/>
    <w:rsid w:val="38897862"/>
    <w:rsid w:val="391F631E"/>
    <w:rsid w:val="39256823"/>
    <w:rsid w:val="396A68E7"/>
    <w:rsid w:val="39721E95"/>
    <w:rsid w:val="39A80BD7"/>
    <w:rsid w:val="39BC0741"/>
    <w:rsid w:val="39CF2452"/>
    <w:rsid w:val="3A032F8F"/>
    <w:rsid w:val="3A255BB6"/>
    <w:rsid w:val="3A2F31FD"/>
    <w:rsid w:val="3A3F57DF"/>
    <w:rsid w:val="3A4A42E9"/>
    <w:rsid w:val="3A5A0705"/>
    <w:rsid w:val="3A6E0DDF"/>
    <w:rsid w:val="3A732697"/>
    <w:rsid w:val="3A8A77C7"/>
    <w:rsid w:val="3AAC0306"/>
    <w:rsid w:val="3B3360B0"/>
    <w:rsid w:val="3B94353D"/>
    <w:rsid w:val="3BDA23A2"/>
    <w:rsid w:val="3C0D7CEF"/>
    <w:rsid w:val="3C270E71"/>
    <w:rsid w:val="3CF741E2"/>
    <w:rsid w:val="3D106015"/>
    <w:rsid w:val="3D1B7612"/>
    <w:rsid w:val="3D6E309B"/>
    <w:rsid w:val="3DB43D2E"/>
    <w:rsid w:val="3DD30799"/>
    <w:rsid w:val="3DEC3127"/>
    <w:rsid w:val="3E273A9F"/>
    <w:rsid w:val="3E3802CF"/>
    <w:rsid w:val="3E5A1BA6"/>
    <w:rsid w:val="3E5C147A"/>
    <w:rsid w:val="3E5D6A48"/>
    <w:rsid w:val="3E7D6227"/>
    <w:rsid w:val="3E8023E5"/>
    <w:rsid w:val="3E893418"/>
    <w:rsid w:val="3ED951C1"/>
    <w:rsid w:val="3EE621D8"/>
    <w:rsid w:val="3F051B12"/>
    <w:rsid w:val="3F3859D9"/>
    <w:rsid w:val="3F5C223B"/>
    <w:rsid w:val="3F6141DA"/>
    <w:rsid w:val="3F753D18"/>
    <w:rsid w:val="3FD32C0B"/>
    <w:rsid w:val="3FD33896"/>
    <w:rsid w:val="3FDF6807"/>
    <w:rsid w:val="40104075"/>
    <w:rsid w:val="40235A5D"/>
    <w:rsid w:val="404B79F8"/>
    <w:rsid w:val="405477FF"/>
    <w:rsid w:val="406127EC"/>
    <w:rsid w:val="40901E97"/>
    <w:rsid w:val="409F5EA7"/>
    <w:rsid w:val="40C81A57"/>
    <w:rsid w:val="41263FC1"/>
    <w:rsid w:val="41287A75"/>
    <w:rsid w:val="412E1D0D"/>
    <w:rsid w:val="419378A9"/>
    <w:rsid w:val="41BF2656"/>
    <w:rsid w:val="41D07FCD"/>
    <w:rsid w:val="42070EA9"/>
    <w:rsid w:val="420B38E3"/>
    <w:rsid w:val="423170C2"/>
    <w:rsid w:val="42324B0A"/>
    <w:rsid w:val="425A10DF"/>
    <w:rsid w:val="42A15AFD"/>
    <w:rsid w:val="42D75573"/>
    <w:rsid w:val="42FC147E"/>
    <w:rsid w:val="433F746E"/>
    <w:rsid w:val="4360072A"/>
    <w:rsid w:val="439B2A45"/>
    <w:rsid w:val="439D67BD"/>
    <w:rsid w:val="43E554DB"/>
    <w:rsid w:val="43EA5439"/>
    <w:rsid w:val="4410089C"/>
    <w:rsid w:val="445F7F16"/>
    <w:rsid w:val="44A5030F"/>
    <w:rsid w:val="44B81B27"/>
    <w:rsid w:val="44FD725C"/>
    <w:rsid w:val="450224DC"/>
    <w:rsid w:val="4545129D"/>
    <w:rsid w:val="457D2733"/>
    <w:rsid w:val="45940B83"/>
    <w:rsid w:val="459534C4"/>
    <w:rsid w:val="45C1217F"/>
    <w:rsid w:val="45D24072"/>
    <w:rsid w:val="45D51691"/>
    <w:rsid w:val="45E31EC5"/>
    <w:rsid w:val="460B7BA2"/>
    <w:rsid w:val="46245A91"/>
    <w:rsid w:val="46AB7443"/>
    <w:rsid w:val="46DC01E0"/>
    <w:rsid w:val="471D7CC3"/>
    <w:rsid w:val="473B1E9E"/>
    <w:rsid w:val="47411B55"/>
    <w:rsid w:val="47421D04"/>
    <w:rsid w:val="47451645"/>
    <w:rsid w:val="476F03A3"/>
    <w:rsid w:val="478E139C"/>
    <w:rsid w:val="47944F23"/>
    <w:rsid w:val="47BF7F9B"/>
    <w:rsid w:val="47C06F1E"/>
    <w:rsid w:val="47DD1F23"/>
    <w:rsid w:val="47FD4865"/>
    <w:rsid w:val="483725EE"/>
    <w:rsid w:val="485A7CD4"/>
    <w:rsid w:val="487E0C6F"/>
    <w:rsid w:val="491255CC"/>
    <w:rsid w:val="49183E05"/>
    <w:rsid w:val="491E578C"/>
    <w:rsid w:val="49437E06"/>
    <w:rsid w:val="4957740E"/>
    <w:rsid w:val="495B14C0"/>
    <w:rsid w:val="497220C4"/>
    <w:rsid w:val="498B18F3"/>
    <w:rsid w:val="499473EB"/>
    <w:rsid w:val="49A62143"/>
    <w:rsid w:val="49B20AE8"/>
    <w:rsid w:val="4A17094B"/>
    <w:rsid w:val="4A1C3B5E"/>
    <w:rsid w:val="4A235542"/>
    <w:rsid w:val="4A25750C"/>
    <w:rsid w:val="4A33286B"/>
    <w:rsid w:val="4A45370A"/>
    <w:rsid w:val="4A711CE7"/>
    <w:rsid w:val="4A9C3BCC"/>
    <w:rsid w:val="4AC75392"/>
    <w:rsid w:val="4AC94DF1"/>
    <w:rsid w:val="4B054C48"/>
    <w:rsid w:val="4B1748D2"/>
    <w:rsid w:val="4B713CC9"/>
    <w:rsid w:val="4B9B4CF6"/>
    <w:rsid w:val="4BA32F01"/>
    <w:rsid w:val="4BC4310F"/>
    <w:rsid w:val="4BF27220"/>
    <w:rsid w:val="4BFC24EE"/>
    <w:rsid w:val="4C257491"/>
    <w:rsid w:val="4C523EBC"/>
    <w:rsid w:val="4C7B177C"/>
    <w:rsid w:val="4C8F3207"/>
    <w:rsid w:val="4CE2021B"/>
    <w:rsid w:val="4D04165B"/>
    <w:rsid w:val="4DDF54D6"/>
    <w:rsid w:val="4DE307C4"/>
    <w:rsid w:val="4E083A75"/>
    <w:rsid w:val="4E1B5913"/>
    <w:rsid w:val="4E4A2558"/>
    <w:rsid w:val="4E573A0C"/>
    <w:rsid w:val="4E8A2F20"/>
    <w:rsid w:val="4E9F0BBC"/>
    <w:rsid w:val="4F124F23"/>
    <w:rsid w:val="4F2902CC"/>
    <w:rsid w:val="4F496CAE"/>
    <w:rsid w:val="4F6C798B"/>
    <w:rsid w:val="4F716D4F"/>
    <w:rsid w:val="4F75633D"/>
    <w:rsid w:val="4F8151E4"/>
    <w:rsid w:val="4FBC3CB9"/>
    <w:rsid w:val="4FDF7053"/>
    <w:rsid w:val="4FEC02DA"/>
    <w:rsid w:val="4FF0236A"/>
    <w:rsid w:val="50007A1A"/>
    <w:rsid w:val="5012180B"/>
    <w:rsid w:val="50271AA2"/>
    <w:rsid w:val="504601DC"/>
    <w:rsid w:val="505553FE"/>
    <w:rsid w:val="507E3890"/>
    <w:rsid w:val="50B50250"/>
    <w:rsid w:val="50B8067E"/>
    <w:rsid w:val="50C25AB5"/>
    <w:rsid w:val="50E13A61"/>
    <w:rsid w:val="50F16984"/>
    <w:rsid w:val="51403982"/>
    <w:rsid w:val="514A5AAA"/>
    <w:rsid w:val="514E699B"/>
    <w:rsid w:val="51AC026C"/>
    <w:rsid w:val="51BD7EBD"/>
    <w:rsid w:val="51EF5FDF"/>
    <w:rsid w:val="5211285B"/>
    <w:rsid w:val="52157B21"/>
    <w:rsid w:val="52482351"/>
    <w:rsid w:val="524E020A"/>
    <w:rsid w:val="525239CD"/>
    <w:rsid w:val="525B1893"/>
    <w:rsid w:val="52851971"/>
    <w:rsid w:val="53083527"/>
    <w:rsid w:val="53086608"/>
    <w:rsid w:val="53195734"/>
    <w:rsid w:val="5334431C"/>
    <w:rsid w:val="53407DE6"/>
    <w:rsid w:val="534E1882"/>
    <w:rsid w:val="53C93FB4"/>
    <w:rsid w:val="53E053D5"/>
    <w:rsid w:val="542E285A"/>
    <w:rsid w:val="543459EF"/>
    <w:rsid w:val="543C40D6"/>
    <w:rsid w:val="545253A1"/>
    <w:rsid w:val="54525C8C"/>
    <w:rsid w:val="546832F7"/>
    <w:rsid w:val="546F411E"/>
    <w:rsid w:val="5487131B"/>
    <w:rsid w:val="54B0031A"/>
    <w:rsid w:val="54C052D0"/>
    <w:rsid w:val="554D3BA4"/>
    <w:rsid w:val="55683EDF"/>
    <w:rsid w:val="55936CD6"/>
    <w:rsid w:val="55AC285D"/>
    <w:rsid w:val="55E02539"/>
    <w:rsid w:val="560E7847"/>
    <w:rsid w:val="562C1C22"/>
    <w:rsid w:val="5661703E"/>
    <w:rsid w:val="568C0876"/>
    <w:rsid w:val="56B313DC"/>
    <w:rsid w:val="56B539C6"/>
    <w:rsid w:val="56CD1A06"/>
    <w:rsid w:val="570F1BB3"/>
    <w:rsid w:val="5716377B"/>
    <w:rsid w:val="571C3872"/>
    <w:rsid w:val="57201787"/>
    <w:rsid w:val="572024C2"/>
    <w:rsid w:val="57405985"/>
    <w:rsid w:val="57521214"/>
    <w:rsid w:val="57B82386"/>
    <w:rsid w:val="57D43827"/>
    <w:rsid w:val="57F22140"/>
    <w:rsid w:val="58451850"/>
    <w:rsid w:val="585E2349"/>
    <w:rsid w:val="58BC60B5"/>
    <w:rsid w:val="58E13718"/>
    <w:rsid w:val="58FF68D3"/>
    <w:rsid w:val="591F166C"/>
    <w:rsid w:val="592F3F03"/>
    <w:rsid w:val="593E23CB"/>
    <w:rsid w:val="59412648"/>
    <w:rsid w:val="59465744"/>
    <w:rsid w:val="594B585F"/>
    <w:rsid w:val="59511904"/>
    <w:rsid w:val="5971182F"/>
    <w:rsid w:val="5983623E"/>
    <w:rsid w:val="598D2D81"/>
    <w:rsid w:val="598F4BC6"/>
    <w:rsid w:val="59BF60D2"/>
    <w:rsid w:val="59D817C4"/>
    <w:rsid w:val="59FA7FF9"/>
    <w:rsid w:val="5A117165"/>
    <w:rsid w:val="5A3E30EB"/>
    <w:rsid w:val="5A4E5B36"/>
    <w:rsid w:val="5A5F4E1E"/>
    <w:rsid w:val="5A5F78B5"/>
    <w:rsid w:val="5A9C45E3"/>
    <w:rsid w:val="5AAC3745"/>
    <w:rsid w:val="5AB35DAE"/>
    <w:rsid w:val="5AE1122D"/>
    <w:rsid w:val="5AF078C1"/>
    <w:rsid w:val="5B2D5AA3"/>
    <w:rsid w:val="5B340C8B"/>
    <w:rsid w:val="5B64627C"/>
    <w:rsid w:val="5B777BFD"/>
    <w:rsid w:val="5B7C0F56"/>
    <w:rsid w:val="5B955B74"/>
    <w:rsid w:val="5B962018"/>
    <w:rsid w:val="5BCB1498"/>
    <w:rsid w:val="5BDE7125"/>
    <w:rsid w:val="5BEB2F2C"/>
    <w:rsid w:val="5C0C254C"/>
    <w:rsid w:val="5C3B06E7"/>
    <w:rsid w:val="5C553A88"/>
    <w:rsid w:val="5CC62FA9"/>
    <w:rsid w:val="5CD979AB"/>
    <w:rsid w:val="5CDD20D2"/>
    <w:rsid w:val="5CEB6852"/>
    <w:rsid w:val="5D054756"/>
    <w:rsid w:val="5D5977A1"/>
    <w:rsid w:val="5D75104B"/>
    <w:rsid w:val="5D7D7A47"/>
    <w:rsid w:val="5D811502"/>
    <w:rsid w:val="5DE54B90"/>
    <w:rsid w:val="5DEF2CAC"/>
    <w:rsid w:val="5E0A0A9B"/>
    <w:rsid w:val="5E1555A0"/>
    <w:rsid w:val="5E2C0A11"/>
    <w:rsid w:val="5E2C730E"/>
    <w:rsid w:val="5E343D6A"/>
    <w:rsid w:val="5E7033A0"/>
    <w:rsid w:val="5ED34345"/>
    <w:rsid w:val="5EF56306"/>
    <w:rsid w:val="5EF94797"/>
    <w:rsid w:val="5EFC6636"/>
    <w:rsid w:val="5F220723"/>
    <w:rsid w:val="5F6366B5"/>
    <w:rsid w:val="5F670580"/>
    <w:rsid w:val="5FE82AE6"/>
    <w:rsid w:val="601D53E8"/>
    <w:rsid w:val="60490C1C"/>
    <w:rsid w:val="60D20B1F"/>
    <w:rsid w:val="615C6957"/>
    <w:rsid w:val="616F1203"/>
    <w:rsid w:val="61886931"/>
    <w:rsid w:val="61B20D1F"/>
    <w:rsid w:val="61B6212F"/>
    <w:rsid w:val="61E6678D"/>
    <w:rsid w:val="61FA4982"/>
    <w:rsid w:val="6234549A"/>
    <w:rsid w:val="623C0374"/>
    <w:rsid w:val="623C71B1"/>
    <w:rsid w:val="625422E5"/>
    <w:rsid w:val="625B2A72"/>
    <w:rsid w:val="626F35C2"/>
    <w:rsid w:val="628437F7"/>
    <w:rsid w:val="628D2D9E"/>
    <w:rsid w:val="62A212A2"/>
    <w:rsid w:val="62AA0157"/>
    <w:rsid w:val="62C53331"/>
    <w:rsid w:val="62C8429D"/>
    <w:rsid w:val="62CF42DA"/>
    <w:rsid w:val="62E62AFE"/>
    <w:rsid w:val="631823BA"/>
    <w:rsid w:val="632B7167"/>
    <w:rsid w:val="633330CC"/>
    <w:rsid w:val="63597570"/>
    <w:rsid w:val="638D7B34"/>
    <w:rsid w:val="63A44BEB"/>
    <w:rsid w:val="63AB61C2"/>
    <w:rsid w:val="63B0222B"/>
    <w:rsid w:val="63B816E7"/>
    <w:rsid w:val="63CC45DE"/>
    <w:rsid w:val="63F34F12"/>
    <w:rsid w:val="64054F02"/>
    <w:rsid w:val="642138E3"/>
    <w:rsid w:val="64280810"/>
    <w:rsid w:val="64291E8A"/>
    <w:rsid w:val="64626004"/>
    <w:rsid w:val="646C19F5"/>
    <w:rsid w:val="64947310"/>
    <w:rsid w:val="64C50777"/>
    <w:rsid w:val="651961C4"/>
    <w:rsid w:val="655648DD"/>
    <w:rsid w:val="65682DB3"/>
    <w:rsid w:val="6582360D"/>
    <w:rsid w:val="659A6549"/>
    <w:rsid w:val="65A01333"/>
    <w:rsid w:val="65A30754"/>
    <w:rsid w:val="65A74F9C"/>
    <w:rsid w:val="661C7ED9"/>
    <w:rsid w:val="66235333"/>
    <w:rsid w:val="66C20F99"/>
    <w:rsid w:val="66CF2882"/>
    <w:rsid w:val="66CF40D9"/>
    <w:rsid w:val="677211C1"/>
    <w:rsid w:val="67890E2E"/>
    <w:rsid w:val="67AC6944"/>
    <w:rsid w:val="67BF1E59"/>
    <w:rsid w:val="67CC3F5C"/>
    <w:rsid w:val="67D00EAF"/>
    <w:rsid w:val="67D56CC2"/>
    <w:rsid w:val="68332A61"/>
    <w:rsid w:val="68466B73"/>
    <w:rsid w:val="685C49FC"/>
    <w:rsid w:val="688F3F06"/>
    <w:rsid w:val="68A368C8"/>
    <w:rsid w:val="68AE3BF4"/>
    <w:rsid w:val="68C655CD"/>
    <w:rsid w:val="68E512C2"/>
    <w:rsid w:val="6940635C"/>
    <w:rsid w:val="6949654A"/>
    <w:rsid w:val="697335CF"/>
    <w:rsid w:val="69C13297"/>
    <w:rsid w:val="6A1F3F61"/>
    <w:rsid w:val="6A2B31D7"/>
    <w:rsid w:val="6A2D6B15"/>
    <w:rsid w:val="6A2E48A8"/>
    <w:rsid w:val="6A3D6C25"/>
    <w:rsid w:val="6A45375A"/>
    <w:rsid w:val="6A485757"/>
    <w:rsid w:val="6A5B1CF6"/>
    <w:rsid w:val="6A770BAA"/>
    <w:rsid w:val="6AAD4C88"/>
    <w:rsid w:val="6AB25BC6"/>
    <w:rsid w:val="6AC545E6"/>
    <w:rsid w:val="6AD06BC8"/>
    <w:rsid w:val="6B064398"/>
    <w:rsid w:val="6B1418FB"/>
    <w:rsid w:val="6B2A3DC3"/>
    <w:rsid w:val="6B7A551F"/>
    <w:rsid w:val="6BB15131"/>
    <w:rsid w:val="6BC56001"/>
    <w:rsid w:val="6BD526E8"/>
    <w:rsid w:val="6C0F54CE"/>
    <w:rsid w:val="6C166407"/>
    <w:rsid w:val="6C2216A6"/>
    <w:rsid w:val="6C25251E"/>
    <w:rsid w:val="6C381EAA"/>
    <w:rsid w:val="6C3A550E"/>
    <w:rsid w:val="6C7F334F"/>
    <w:rsid w:val="6CD24E7A"/>
    <w:rsid w:val="6CEF77DA"/>
    <w:rsid w:val="6D056FFD"/>
    <w:rsid w:val="6D3D3BB1"/>
    <w:rsid w:val="6D4036FC"/>
    <w:rsid w:val="6D605CD6"/>
    <w:rsid w:val="6D7F604D"/>
    <w:rsid w:val="6D9C504D"/>
    <w:rsid w:val="6DAA54AF"/>
    <w:rsid w:val="6DBC1623"/>
    <w:rsid w:val="6DEA6910"/>
    <w:rsid w:val="6DF23418"/>
    <w:rsid w:val="6E065F47"/>
    <w:rsid w:val="6E5268EB"/>
    <w:rsid w:val="6E63518D"/>
    <w:rsid w:val="6E777A87"/>
    <w:rsid w:val="6EDF6E66"/>
    <w:rsid w:val="6EE60963"/>
    <w:rsid w:val="6EF454B3"/>
    <w:rsid w:val="6F0911F1"/>
    <w:rsid w:val="6F761901"/>
    <w:rsid w:val="6FD11D8A"/>
    <w:rsid w:val="6FD51038"/>
    <w:rsid w:val="6FE23626"/>
    <w:rsid w:val="70451293"/>
    <w:rsid w:val="706459F2"/>
    <w:rsid w:val="70A3142F"/>
    <w:rsid w:val="70A94143"/>
    <w:rsid w:val="70E64A50"/>
    <w:rsid w:val="712D54E7"/>
    <w:rsid w:val="71450EBE"/>
    <w:rsid w:val="71657C8E"/>
    <w:rsid w:val="71B833E4"/>
    <w:rsid w:val="71C6131B"/>
    <w:rsid w:val="71CF5C96"/>
    <w:rsid w:val="71E847BD"/>
    <w:rsid w:val="71EB7372"/>
    <w:rsid w:val="71EE5E55"/>
    <w:rsid w:val="71FA7796"/>
    <w:rsid w:val="71FD64F5"/>
    <w:rsid w:val="72103B86"/>
    <w:rsid w:val="730E3412"/>
    <w:rsid w:val="730E4732"/>
    <w:rsid w:val="732144AE"/>
    <w:rsid w:val="733A72D5"/>
    <w:rsid w:val="7348630E"/>
    <w:rsid w:val="734E00B0"/>
    <w:rsid w:val="73533533"/>
    <w:rsid w:val="736E129A"/>
    <w:rsid w:val="73A8624F"/>
    <w:rsid w:val="73B83401"/>
    <w:rsid w:val="73DD3D5E"/>
    <w:rsid w:val="73E92347"/>
    <w:rsid w:val="740373F8"/>
    <w:rsid w:val="742E1902"/>
    <w:rsid w:val="742F0C24"/>
    <w:rsid w:val="74481CA5"/>
    <w:rsid w:val="746338A2"/>
    <w:rsid w:val="74CA7A9D"/>
    <w:rsid w:val="74F666CB"/>
    <w:rsid w:val="75962594"/>
    <w:rsid w:val="75A629FF"/>
    <w:rsid w:val="75AF76E8"/>
    <w:rsid w:val="75B8005C"/>
    <w:rsid w:val="75B83EBE"/>
    <w:rsid w:val="75F9181C"/>
    <w:rsid w:val="762F7F83"/>
    <w:rsid w:val="768D19CC"/>
    <w:rsid w:val="76FE3BE5"/>
    <w:rsid w:val="7719556E"/>
    <w:rsid w:val="7791256B"/>
    <w:rsid w:val="77A94A29"/>
    <w:rsid w:val="77E516A9"/>
    <w:rsid w:val="781744BD"/>
    <w:rsid w:val="784136F1"/>
    <w:rsid w:val="78583817"/>
    <w:rsid w:val="787F0A8F"/>
    <w:rsid w:val="78816333"/>
    <w:rsid w:val="788320B9"/>
    <w:rsid w:val="78874729"/>
    <w:rsid w:val="78BD1F5B"/>
    <w:rsid w:val="78E73A5B"/>
    <w:rsid w:val="791C31C7"/>
    <w:rsid w:val="793547C6"/>
    <w:rsid w:val="797D616D"/>
    <w:rsid w:val="79C15D7F"/>
    <w:rsid w:val="79D83410"/>
    <w:rsid w:val="79DD5C0A"/>
    <w:rsid w:val="79EA4A14"/>
    <w:rsid w:val="79ED32F3"/>
    <w:rsid w:val="79F95D73"/>
    <w:rsid w:val="7A056C38"/>
    <w:rsid w:val="7A1D6A73"/>
    <w:rsid w:val="7ADA3726"/>
    <w:rsid w:val="7B585E49"/>
    <w:rsid w:val="7B7470FC"/>
    <w:rsid w:val="7BA43BD0"/>
    <w:rsid w:val="7BD146BC"/>
    <w:rsid w:val="7BE80405"/>
    <w:rsid w:val="7BEC7C99"/>
    <w:rsid w:val="7BF72207"/>
    <w:rsid w:val="7C1959DA"/>
    <w:rsid w:val="7C2401D8"/>
    <w:rsid w:val="7CA2673A"/>
    <w:rsid w:val="7CD7128C"/>
    <w:rsid w:val="7D01360C"/>
    <w:rsid w:val="7D2B742D"/>
    <w:rsid w:val="7D3B14EA"/>
    <w:rsid w:val="7D44147C"/>
    <w:rsid w:val="7D56583B"/>
    <w:rsid w:val="7DA243F4"/>
    <w:rsid w:val="7DA428C8"/>
    <w:rsid w:val="7DC73E5B"/>
    <w:rsid w:val="7DE518F0"/>
    <w:rsid w:val="7DF154A0"/>
    <w:rsid w:val="7DF96D7D"/>
    <w:rsid w:val="7E0E707F"/>
    <w:rsid w:val="7E3F3482"/>
    <w:rsid w:val="7E514D2D"/>
    <w:rsid w:val="7E7771E9"/>
    <w:rsid w:val="7E7B3AC9"/>
    <w:rsid w:val="7E9E2E0E"/>
    <w:rsid w:val="7EB0669D"/>
    <w:rsid w:val="7EF95784"/>
    <w:rsid w:val="7F001486"/>
    <w:rsid w:val="7F4522E8"/>
    <w:rsid w:val="7F685E1B"/>
    <w:rsid w:val="7F924BD0"/>
    <w:rsid w:val="7FC06C5B"/>
    <w:rsid w:val="7FC2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0" w:firstLineChars="200"/>
      <w:jc w:val="both"/>
    </w:pPr>
    <w:rPr>
      <w:rFonts w:ascii="Times New Roman" w:hAnsi="Times New Roman" w:eastAsia="宋体" w:cs="Times New Roman"/>
      <w:kern w:val="2"/>
      <w:sz w:val="24"/>
      <w:szCs w:val="21"/>
      <w:lang w:val="en-US" w:eastAsia="zh-CN" w:bidi="ar-SA"/>
    </w:rPr>
  </w:style>
  <w:style w:type="paragraph" w:styleId="4">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uiPriority w:val="0"/>
    <w:pPr>
      <w:keepNext/>
      <w:keepLines/>
      <w:numPr>
        <w:ilvl w:val="1"/>
        <w:numId w:val="1"/>
      </w:numPr>
      <w:adjustRightInd w:val="0"/>
      <w:snapToGrid w:val="0"/>
      <w:spacing w:line="240" w:lineRule="auto"/>
      <w:jc w:val="center"/>
      <w:outlineLvl w:val="1"/>
    </w:pPr>
    <w:rPr>
      <w:rFonts w:eastAsia="Times New Roman"/>
      <w:szCs w:val="20"/>
    </w:rPr>
  </w:style>
  <w:style w:type="paragraph" w:styleId="6">
    <w:name w:val="heading 3"/>
    <w:basedOn w:val="1"/>
    <w:next w:val="1"/>
    <w:unhideWhenUsed/>
    <w:qFormat/>
    <w:uiPriority w:val="0"/>
    <w:pPr>
      <w:keepNext/>
      <w:keepLines/>
      <w:spacing w:before="20" w:after="20"/>
      <w:jc w:val="left"/>
      <w:outlineLvl w:val="2"/>
    </w:pPr>
    <w:rPr>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20"/>
    </w:rPr>
  </w:style>
  <w:style w:type="paragraph" w:styleId="3">
    <w:name w:val="List Bullet 5"/>
    <w:basedOn w:val="1"/>
    <w:qFormat/>
    <w:uiPriority w:val="0"/>
    <w:pPr>
      <w:numPr>
        <w:ilvl w:val="0"/>
        <w:numId w:val="2"/>
      </w:numPr>
    </w:pPr>
  </w:style>
  <w:style w:type="paragraph" w:styleId="7">
    <w:name w:val="List 3"/>
    <w:basedOn w:val="1"/>
    <w:qFormat/>
    <w:uiPriority w:val="0"/>
    <w:pPr>
      <w:ind w:left="100" w:leftChars="400" w:hanging="200" w:hangingChars="200"/>
      <w:contextualSpacing/>
    </w:pPr>
  </w:style>
  <w:style w:type="paragraph" w:styleId="8">
    <w:name w:val="Normal Indent"/>
    <w:basedOn w:val="1"/>
    <w:qFormat/>
    <w:uiPriority w:val="0"/>
    <w:pPr>
      <w:ind w:firstLine="420"/>
    </w:pPr>
  </w:style>
  <w:style w:type="paragraph" w:styleId="9">
    <w:name w:val="caption"/>
    <w:basedOn w:val="1"/>
    <w:next w:val="1"/>
    <w:qFormat/>
    <w:uiPriority w:val="0"/>
    <w:pPr>
      <w:keepNext/>
      <w:spacing w:beforeLines="50"/>
      <w:jc w:val="center"/>
    </w:pPr>
    <w:rPr>
      <w:rFonts w:eastAsia="黑体"/>
      <w:szCs w:val="20"/>
    </w:rPr>
  </w:style>
  <w:style w:type="paragraph" w:styleId="10">
    <w:name w:val="toa heading"/>
    <w:basedOn w:val="1"/>
    <w:next w:val="1"/>
    <w:semiHidden/>
    <w:qFormat/>
    <w:uiPriority w:val="0"/>
    <w:pPr>
      <w:adjustRightInd w:val="0"/>
      <w:snapToGrid w:val="0"/>
      <w:spacing w:before="120" w:line="312" w:lineRule="auto"/>
    </w:pPr>
    <w:rPr>
      <w:rFonts w:ascii="Arial" w:hAnsi="Arial" w:cs="Arial"/>
      <w:szCs w:val="24"/>
    </w:rPr>
  </w:style>
  <w:style w:type="paragraph" w:styleId="11">
    <w:name w:val="annotation text"/>
    <w:basedOn w:val="1"/>
    <w:link w:val="46"/>
    <w:semiHidden/>
    <w:qFormat/>
    <w:uiPriority w:val="0"/>
    <w:pPr>
      <w:jc w:val="left"/>
    </w:pPr>
    <w:rPr>
      <w:kern w:val="0"/>
      <w:szCs w:val="20"/>
    </w:rPr>
  </w:style>
  <w:style w:type="paragraph" w:styleId="12">
    <w:name w:val="Body Text Indent"/>
    <w:basedOn w:val="1"/>
    <w:next w:val="8"/>
    <w:qFormat/>
    <w:uiPriority w:val="0"/>
    <w:pPr>
      <w:spacing w:after="120"/>
      <w:ind w:left="420" w:leftChars="200"/>
    </w:pPr>
    <w:rPr>
      <w:kern w:val="0"/>
      <w:szCs w:val="20"/>
    </w:rPr>
  </w:style>
  <w:style w:type="paragraph" w:styleId="13">
    <w:name w:val="Block Text"/>
    <w:basedOn w:val="1"/>
    <w:qFormat/>
    <w:uiPriority w:val="0"/>
    <w:pPr>
      <w:spacing w:after="120"/>
      <w:ind w:left="1440" w:leftChars="700" w:right="1440" w:rightChars="700"/>
    </w:pPr>
  </w:style>
  <w:style w:type="paragraph" w:styleId="14">
    <w:name w:val="Plain Text"/>
    <w:basedOn w:val="1"/>
    <w:qFormat/>
    <w:uiPriority w:val="0"/>
    <w:rPr>
      <w:rFonts w:ascii="宋体" w:hAnsi="Courier New" w:eastAsiaTheme="minorEastAsia"/>
    </w:rPr>
  </w:style>
  <w:style w:type="paragraph" w:styleId="15">
    <w:name w:val="Balloon Text"/>
    <w:basedOn w:val="1"/>
    <w:link w:val="48"/>
    <w:qFormat/>
    <w:uiPriority w:val="0"/>
    <w:pPr>
      <w:spacing w:line="240" w:lineRule="auto"/>
    </w:pPr>
    <w:rPr>
      <w:sz w:val="18"/>
      <w:szCs w:val="18"/>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8778"/>
      </w:tabs>
    </w:pPr>
    <w:rPr>
      <w:rFonts w:ascii="宋体" w:hAnsi="宋体"/>
      <w:b/>
    </w:rPr>
  </w:style>
  <w:style w:type="paragraph" w:styleId="19">
    <w:name w:val="List"/>
    <w:basedOn w:val="1"/>
    <w:qFormat/>
    <w:uiPriority w:val="0"/>
    <w:pPr>
      <w:ind w:left="200" w:hanging="200" w:hangingChars="200"/>
    </w:pPr>
  </w:style>
  <w:style w:type="paragraph" w:styleId="20">
    <w:name w:val="Body Text Indent 3"/>
    <w:basedOn w:val="1"/>
    <w:qFormat/>
    <w:uiPriority w:val="0"/>
    <w:pPr>
      <w:spacing w:line="400" w:lineRule="exact"/>
      <w:ind w:firstLine="480"/>
    </w:pPr>
    <w:rPr>
      <w:rFonts w:ascii="宋体" w:hAnsi="宋体"/>
    </w:rPr>
  </w:style>
  <w:style w:type="paragraph" w:styleId="21">
    <w:name w:val="Normal (Web)"/>
    <w:basedOn w:val="1"/>
    <w:qFormat/>
    <w:uiPriority w:val="0"/>
    <w:pPr>
      <w:widowControl/>
      <w:spacing w:before="100" w:beforeAutospacing="1" w:after="100" w:afterAutospacing="1"/>
      <w:jc w:val="left"/>
    </w:pPr>
    <w:rPr>
      <w:rFonts w:ascii="宋体" w:hAnsi="宋体"/>
      <w:szCs w:val="22"/>
    </w:rPr>
  </w:style>
  <w:style w:type="paragraph" w:styleId="22">
    <w:name w:val="Title"/>
    <w:basedOn w:val="1"/>
    <w:next w:val="1"/>
    <w:qFormat/>
    <w:uiPriority w:val="0"/>
    <w:pPr>
      <w:spacing w:before="240" w:after="60"/>
      <w:jc w:val="center"/>
      <w:outlineLvl w:val="0"/>
    </w:pPr>
    <w:rPr>
      <w:rFonts w:ascii="Calibri Light" w:hAnsi="Calibri Light"/>
      <w:b/>
      <w:bCs/>
      <w:sz w:val="32"/>
      <w:szCs w:val="32"/>
    </w:rPr>
  </w:style>
  <w:style w:type="paragraph" w:styleId="23">
    <w:name w:val="annotation subject"/>
    <w:basedOn w:val="11"/>
    <w:next w:val="11"/>
    <w:link w:val="47"/>
    <w:qFormat/>
    <w:uiPriority w:val="0"/>
    <w:rPr>
      <w:b/>
      <w:bCs/>
      <w:kern w:val="2"/>
      <w:sz w:val="21"/>
      <w:szCs w:val="21"/>
    </w:rPr>
  </w:style>
  <w:style w:type="paragraph" w:styleId="24">
    <w:name w:val="Body Text First Indent"/>
    <w:basedOn w:val="2"/>
    <w:next w:val="1"/>
    <w:semiHidden/>
    <w:unhideWhenUsed/>
    <w:qFormat/>
    <w:uiPriority w:val="0"/>
    <w:pPr>
      <w:ind w:firstLine="420" w:firstLineChars="100"/>
    </w:pPr>
    <w:rPr>
      <w:rFonts w:asciiTheme="minorHAnsi" w:hAnsiTheme="minorHAnsi" w:eastAsiaTheme="minorEastAsia" w:cstheme="minorBidi"/>
    </w:rPr>
  </w:style>
  <w:style w:type="paragraph" w:styleId="25">
    <w:name w:val="Body Text First Indent 2"/>
    <w:basedOn w:val="12"/>
    <w:next w:val="26"/>
    <w:unhideWhenUsed/>
    <w:qFormat/>
    <w:uiPriority w:val="0"/>
    <w:pPr>
      <w:ind w:firstLine="420"/>
    </w:pPr>
    <w:rPr>
      <w:rFonts w:hint="eastAsia" w:ascii="宋体" w:hAnsi="宋体"/>
      <w:kern w:val="2"/>
      <w:sz w:val="21"/>
      <w:szCs w:val="24"/>
    </w:rPr>
  </w:style>
  <w:style w:type="paragraph" w:customStyle="1" w:styleId="26">
    <w:name w:val="Default"/>
    <w:basedOn w:val="27"/>
    <w:unhideWhenUsed/>
    <w:qFormat/>
    <w:uiPriority w:val="0"/>
    <w:pPr>
      <w:autoSpaceDE w:val="0"/>
      <w:autoSpaceDN w:val="0"/>
    </w:pPr>
    <w:rPr>
      <w:rFonts w:hint="eastAsia" w:hAnsi="宋体"/>
      <w:color w:val="000000"/>
      <w:szCs w:val="24"/>
    </w:rPr>
  </w:style>
  <w:style w:type="paragraph" w:customStyle="1" w:styleId="27">
    <w:name w:val="纯文本1"/>
    <w:basedOn w:val="1"/>
    <w:qFormat/>
    <w:uiPriority w:val="0"/>
    <w:pPr>
      <w:adjustRightInd w:val="0"/>
    </w:pPr>
    <w:rPr>
      <w:rFonts w:ascii="宋体" w:hAnsi="Courier New"/>
      <w:szCs w:val="20"/>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basedOn w:val="30"/>
    <w:qFormat/>
    <w:uiPriority w:val="0"/>
    <w:rPr>
      <w:i/>
    </w:rPr>
  </w:style>
  <w:style w:type="character" w:styleId="34">
    <w:name w:val="Hyperlink"/>
    <w:basedOn w:val="30"/>
    <w:qFormat/>
    <w:uiPriority w:val="0"/>
    <w:rPr>
      <w:color w:val="0000FF"/>
      <w:u w:val="single"/>
    </w:rPr>
  </w:style>
  <w:style w:type="character" w:styleId="35">
    <w:name w:val="annotation reference"/>
    <w:basedOn w:val="30"/>
    <w:qFormat/>
    <w:uiPriority w:val="0"/>
    <w:rPr>
      <w:sz w:val="21"/>
      <w:szCs w:val="21"/>
    </w:rPr>
  </w:style>
  <w:style w:type="paragraph" w:customStyle="1" w:styleId="36">
    <w:name w:val="NormalIndent"/>
    <w:basedOn w:val="1"/>
    <w:next w:val="1"/>
    <w:qFormat/>
    <w:uiPriority w:val="99"/>
    <w:pPr>
      <w:jc w:val="left"/>
    </w:pPr>
    <w:rPr>
      <w:spacing w:val="-25"/>
    </w:rPr>
  </w:style>
  <w:style w:type="paragraph" w:customStyle="1" w:styleId="37">
    <w:name w:val="表格文字"/>
    <w:basedOn w:val="1"/>
    <w:qFormat/>
    <w:uiPriority w:val="0"/>
    <w:pPr>
      <w:jc w:val="center"/>
    </w:pPr>
    <w:rPr>
      <w:rFonts w:ascii="仿宋_GB2312" w:hAnsi="Arial Black" w:eastAsia="仿宋_GB2312"/>
      <w:kern w:val="44"/>
      <w:szCs w:val="20"/>
    </w:rPr>
  </w:style>
  <w:style w:type="paragraph" w:customStyle="1" w:styleId="38">
    <w:name w:val="表头"/>
    <w:basedOn w:val="1"/>
    <w:qFormat/>
    <w:uiPriority w:val="0"/>
    <w:pPr>
      <w:adjustRightInd w:val="0"/>
      <w:spacing w:line="320" w:lineRule="atLeast"/>
      <w:jc w:val="center"/>
      <w:textAlignment w:val="baseline"/>
    </w:pPr>
    <w:rPr>
      <w:rFonts w:eastAsia="黑体" w:asciiTheme="minorHAnsi" w:hAnsiTheme="minorHAnsi" w:cstheme="minorBidi"/>
      <w:spacing w:val="-10"/>
      <w:szCs w:val="22"/>
    </w:rPr>
  </w:style>
  <w:style w:type="paragraph" w:customStyle="1" w:styleId="39">
    <w:name w:val="No Spacing1"/>
    <w:basedOn w:val="1"/>
    <w:qFormat/>
    <w:uiPriority w:val="0"/>
    <w:pPr>
      <w:jc w:val="center"/>
    </w:pPr>
    <w:rPr>
      <w:rFonts w:hint="eastAsia" w:ascii="宋体" w:hAnsi="Courier New" w:eastAsia="仿宋_GB2312"/>
      <w:szCs w:val="22"/>
    </w:rPr>
  </w:style>
  <w:style w:type="paragraph" w:customStyle="1" w:styleId="40">
    <w:name w:val="无间隔2"/>
    <w:basedOn w:val="1"/>
    <w:qFormat/>
    <w:uiPriority w:val="0"/>
    <w:pPr>
      <w:jc w:val="center"/>
    </w:pPr>
    <w:rPr>
      <w:rFonts w:hint="eastAsia" w:ascii="宋体" w:hAnsi="Courier New" w:eastAsia="仿宋_GB2312"/>
      <w:szCs w:val="20"/>
    </w:rPr>
  </w:style>
  <w:style w:type="paragraph" w:customStyle="1" w:styleId="41">
    <w:name w:val="1表格内字体"/>
    <w:basedOn w:val="1"/>
    <w:qFormat/>
    <w:uiPriority w:val="0"/>
    <w:pPr>
      <w:snapToGrid w:val="0"/>
      <w:spacing w:line="240" w:lineRule="auto"/>
      <w:jc w:val="center"/>
    </w:pPr>
  </w:style>
  <w:style w:type="paragraph" w:customStyle="1" w:styleId="42">
    <w:name w:val="表格 居中"/>
    <w:basedOn w:val="1"/>
    <w:link w:val="71"/>
    <w:qFormat/>
    <w:uiPriority w:val="0"/>
    <w:pPr>
      <w:snapToGrid w:val="0"/>
      <w:spacing w:line="240" w:lineRule="auto"/>
      <w:ind w:firstLine="0" w:firstLineChars="0"/>
      <w:jc w:val="center"/>
    </w:pPr>
    <w:rPr>
      <w:sz w:val="21"/>
    </w:rPr>
  </w:style>
  <w:style w:type="paragraph" w:customStyle="1" w:styleId="43">
    <w:name w:val="1图表标题"/>
    <w:basedOn w:val="1"/>
    <w:next w:val="44"/>
    <w:qFormat/>
    <w:uiPriority w:val="0"/>
    <w:pPr>
      <w:snapToGrid w:val="0"/>
      <w:spacing w:line="240" w:lineRule="auto"/>
      <w:jc w:val="center"/>
    </w:pPr>
    <w:rPr>
      <w:bCs/>
      <w:szCs w:val="20"/>
    </w:rPr>
  </w:style>
  <w:style w:type="paragraph" w:customStyle="1" w:styleId="44">
    <w:name w:val="1正文--使用此"/>
    <w:basedOn w:val="1"/>
    <w:link w:val="45"/>
    <w:qFormat/>
    <w:uiPriority w:val="0"/>
    <w:pPr>
      <w:ind w:firstLine="720"/>
    </w:pPr>
  </w:style>
  <w:style w:type="character" w:customStyle="1" w:styleId="45">
    <w:name w:val="1正文--使用此 Char"/>
    <w:link w:val="44"/>
    <w:qFormat/>
    <w:uiPriority w:val="0"/>
    <w:rPr>
      <w:rFonts w:ascii="Times New Roman" w:hAnsi="Times New Roman"/>
    </w:rPr>
  </w:style>
  <w:style w:type="character" w:customStyle="1" w:styleId="46">
    <w:name w:val="批注文字 字符"/>
    <w:basedOn w:val="30"/>
    <w:link w:val="11"/>
    <w:semiHidden/>
    <w:qFormat/>
    <w:uiPriority w:val="0"/>
    <w:rPr>
      <w:sz w:val="24"/>
    </w:rPr>
  </w:style>
  <w:style w:type="character" w:customStyle="1" w:styleId="47">
    <w:name w:val="批注主题 字符"/>
    <w:basedOn w:val="46"/>
    <w:link w:val="23"/>
    <w:qFormat/>
    <w:uiPriority w:val="0"/>
    <w:rPr>
      <w:b/>
      <w:bCs/>
      <w:kern w:val="2"/>
      <w:sz w:val="21"/>
      <w:szCs w:val="21"/>
    </w:rPr>
  </w:style>
  <w:style w:type="character" w:customStyle="1" w:styleId="48">
    <w:name w:val="批注框文本 字符"/>
    <w:basedOn w:val="30"/>
    <w:link w:val="15"/>
    <w:qFormat/>
    <w:uiPriority w:val="0"/>
    <w:rPr>
      <w:kern w:val="2"/>
      <w:sz w:val="18"/>
      <w:szCs w:val="18"/>
    </w:rPr>
  </w:style>
  <w:style w:type="table" w:customStyle="1" w:styleId="49">
    <w:name w:val="网格型1"/>
    <w:basedOn w:val="28"/>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eastAsia="宋体"/>
        <w:b/>
        <w:sz w:val="21"/>
      </w:rPr>
      <w:tcPr>
        <w:tcBorders>
          <w:top w:val="single" w:color="auto" w:sz="4" w:space="0"/>
          <w:left w:val="nil"/>
          <w:bottom w:val="single" w:color="auto" w:sz="4" w:space="0"/>
          <w:right w:val="nil"/>
          <w:insideH w:val="nil"/>
          <w:insideV w:val="nil"/>
          <w:tl2br w:val="nil"/>
          <w:tr2bl w:val="nil"/>
        </w:tcBorders>
      </w:tcPr>
    </w:tblStylePr>
  </w:style>
  <w:style w:type="paragraph" w:customStyle="1" w:styleId="50">
    <w:name w:val="样式5"/>
    <w:basedOn w:val="1"/>
    <w:next w:val="1"/>
    <w:qFormat/>
    <w:uiPriority w:val="0"/>
    <w:pPr>
      <w:adjustRightInd w:val="0"/>
      <w:snapToGrid w:val="0"/>
      <w:textAlignment w:val="center"/>
    </w:pPr>
    <w:rPr>
      <w:rFonts w:eastAsia="仿宋_GB2312" w:asciiTheme="minorHAnsi" w:hAnsiTheme="minorHAnsi" w:cstheme="minorBidi"/>
    </w:rPr>
  </w:style>
  <w:style w:type="paragraph" w:customStyle="1" w:styleId="51">
    <w:name w:val="首行缩进"/>
    <w:basedOn w:val="1"/>
    <w:qFormat/>
    <w:uiPriority w:val="0"/>
    <w:pPr>
      <w:ind w:firstLine="480"/>
    </w:pPr>
  </w:style>
  <w:style w:type="paragraph" w:customStyle="1" w:styleId="52">
    <w:name w:val="图表文字"/>
    <w:basedOn w:val="1"/>
    <w:qFormat/>
    <w:uiPriority w:val="0"/>
    <w:pPr>
      <w:spacing w:line="300" w:lineRule="exact"/>
      <w:jc w:val="center"/>
    </w:pPr>
    <w:rPr>
      <w:rFonts w:eastAsia="T"/>
      <w:b/>
      <w:bCs/>
      <w:szCs w:val="20"/>
    </w:rPr>
  </w:style>
  <w:style w:type="paragraph" w:customStyle="1" w:styleId="53">
    <w:name w:val="表内字体"/>
    <w:basedOn w:val="1"/>
    <w:qFormat/>
    <w:uiPriority w:val="0"/>
    <w:pPr>
      <w:jc w:val="center"/>
    </w:pPr>
    <w:rPr>
      <w:rFonts w:eastAsia="仿宋_GB2312"/>
      <w:sz w:val="28"/>
      <w:szCs w:val="20"/>
    </w:rPr>
  </w:style>
  <w:style w:type="paragraph" w:customStyle="1" w:styleId="54">
    <w:name w:val="小四宋居中1.0"/>
    <w:basedOn w:val="1"/>
    <w:next w:val="1"/>
    <w:qFormat/>
    <w:uiPriority w:val="0"/>
    <w:pPr>
      <w:spacing w:line="400" w:lineRule="exact"/>
      <w:jc w:val="center"/>
    </w:pPr>
    <w:rPr>
      <w:rFonts w:ascii="宋体" w:hAnsi="宋体"/>
    </w:rPr>
  </w:style>
  <w:style w:type="paragraph" w:customStyle="1" w:styleId="55">
    <w:name w:val="样式16"/>
    <w:basedOn w:val="1"/>
    <w:link w:val="82"/>
    <w:qFormat/>
    <w:uiPriority w:val="0"/>
    <w:pPr>
      <w:adjustRightInd w:val="0"/>
      <w:snapToGrid w:val="0"/>
      <w:ind w:firstLine="200"/>
    </w:pPr>
    <w:rPr>
      <w:szCs w:val="28"/>
    </w:rPr>
  </w:style>
  <w:style w:type="paragraph" w:customStyle="1" w:styleId="56">
    <w:name w:val="表格"/>
    <w:basedOn w:val="37"/>
    <w:next w:val="1"/>
    <w:qFormat/>
    <w:uiPriority w:val="0"/>
    <w:pPr>
      <w:adjustRightInd w:val="0"/>
      <w:snapToGrid w:val="0"/>
      <w:spacing w:beforeLines="10" w:afterLines="10" w:line="259" w:lineRule="auto"/>
    </w:pPr>
    <w:rPr>
      <w:rFonts w:ascii="宋体"/>
      <w:kern w:val="0"/>
    </w:rPr>
  </w:style>
  <w:style w:type="paragraph" w:customStyle="1" w:styleId="57">
    <w:name w:val="1正文--使用此-五号字"/>
    <w:basedOn w:val="1"/>
    <w:qFormat/>
    <w:uiPriority w:val="0"/>
    <w:pPr>
      <w:snapToGrid w:val="0"/>
      <w:ind w:firstLine="720"/>
    </w:pPr>
  </w:style>
  <w:style w:type="paragraph" w:customStyle="1" w:styleId="58">
    <w:name w:val="1图表标题-五号字"/>
    <w:basedOn w:val="1"/>
    <w:next w:val="57"/>
    <w:qFormat/>
    <w:uiPriority w:val="0"/>
    <w:pPr>
      <w:snapToGrid w:val="0"/>
      <w:jc w:val="center"/>
    </w:pPr>
    <w:rPr>
      <w:bCs/>
      <w:szCs w:val="20"/>
    </w:rPr>
  </w:style>
  <w:style w:type="paragraph" w:styleId="59">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60">
    <w:name w:val="font21"/>
    <w:basedOn w:val="30"/>
    <w:qFormat/>
    <w:uiPriority w:val="0"/>
    <w:rPr>
      <w:rFonts w:hint="eastAsia" w:ascii="宋体" w:hAnsi="宋体" w:eastAsia="宋体" w:cs="宋体"/>
      <w:color w:val="FF0000"/>
      <w:sz w:val="20"/>
      <w:szCs w:val="20"/>
      <w:u w:val="none"/>
    </w:rPr>
  </w:style>
  <w:style w:type="character" w:customStyle="1" w:styleId="61">
    <w:name w:val="font31"/>
    <w:basedOn w:val="30"/>
    <w:qFormat/>
    <w:uiPriority w:val="0"/>
    <w:rPr>
      <w:rFonts w:hint="default" w:ascii="Times New Roman" w:hAnsi="Times New Roman" w:cs="Times New Roman"/>
      <w:color w:val="FF0000"/>
      <w:sz w:val="20"/>
      <w:szCs w:val="20"/>
      <w:u w:val="none"/>
    </w:rPr>
  </w:style>
  <w:style w:type="paragraph" w:customStyle="1" w:styleId="62">
    <w:name w:val="报告正文"/>
    <w:basedOn w:val="1"/>
    <w:qFormat/>
    <w:uiPriority w:val="99"/>
    <w:pPr>
      <w:widowControl/>
      <w:ind w:firstLine="600"/>
      <w:jc w:val="left"/>
    </w:pPr>
    <w:rPr>
      <w:rFonts w:ascii="宋体" w:hAnsi="宋体" w:eastAsia="楷体_GB2312" w:cs="宋体"/>
      <w:bCs/>
      <w:kern w:val="0"/>
      <w:sz w:val="30"/>
      <w:szCs w:val="20"/>
    </w:rPr>
  </w:style>
  <w:style w:type="paragraph" w:customStyle="1" w:styleId="63">
    <w:name w:val="表格内容"/>
    <w:basedOn w:val="1"/>
    <w:qFormat/>
    <w:uiPriority w:val="0"/>
    <w:pPr>
      <w:overflowPunct w:val="0"/>
      <w:adjustRightInd w:val="0"/>
      <w:snapToGrid w:val="0"/>
      <w:spacing w:line="240" w:lineRule="atLeast"/>
      <w:jc w:val="center"/>
      <w:textAlignment w:val="baseline"/>
    </w:pPr>
    <w:rPr>
      <w:rFonts w:eastAsia="仿宋_GB2312" w:cs="宋体"/>
      <w:color w:val="000000"/>
      <w:kern w:val="0"/>
      <w:lang w:val="zh-CN"/>
    </w:rPr>
  </w:style>
  <w:style w:type="paragraph" w:customStyle="1" w:styleId="6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table" w:customStyle="1" w:styleId="65">
    <w:name w:val="网格型!1"/>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Body Text 21"/>
    <w:basedOn w:val="1"/>
    <w:qFormat/>
    <w:uiPriority w:val="0"/>
    <w:pPr>
      <w:adjustRightInd w:val="0"/>
      <w:textAlignment w:val="baseline"/>
    </w:pPr>
    <w:rPr>
      <w:rFonts w:eastAsia="仿宋体"/>
      <w:szCs w:val="20"/>
    </w:rPr>
  </w:style>
  <w:style w:type="paragraph" w:customStyle="1" w:styleId="67">
    <w:name w:val="正文1"/>
    <w:basedOn w:val="1"/>
    <w:qFormat/>
    <w:uiPriority w:val="0"/>
    <w:pPr>
      <w:widowControl/>
      <w:snapToGrid w:val="0"/>
      <w:ind w:firstLine="200"/>
      <w:outlineLvl w:val="4"/>
    </w:pPr>
    <w:rPr>
      <w:rFonts w:cs="宋体"/>
      <w:spacing w:val="4"/>
      <w:kern w:val="0"/>
      <w:szCs w:val="24"/>
    </w:rPr>
  </w:style>
  <w:style w:type="paragraph" w:customStyle="1" w:styleId="68">
    <w:name w:val="正文16"/>
    <w:basedOn w:val="1"/>
    <w:autoRedefine/>
    <w:qFormat/>
    <w:uiPriority w:val="0"/>
    <w:pPr>
      <w:widowControl/>
      <w:adjustRightInd w:val="0"/>
      <w:snapToGrid w:val="0"/>
      <w:ind w:firstLine="480"/>
    </w:pPr>
  </w:style>
  <w:style w:type="character" w:customStyle="1" w:styleId="69">
    <w:name w:val="正文01 Char"/>
    <w:link w:val="70"/>
    <w:autoRedefine/>
    <w:qFormat/>
    <w:locked/>
    <w:uiPriority w:val="0"/>
    <w:rPr>
      <w:rFonts w:cs="Arial"/>
      <w:kern w:val="0"/>
      <w:sz w:val="24"/>
    </w:rPr>
  </w:style>
  <w:style w:type="paragraph" w:customStyle="1" w:styleId="70">
    <w:name w:val="正文01"/>
    <w:basedOn w:val="1"/>
    <w:link w:val="69"/>
    <w:autoRedefine/>
    <w:qFormat/>
    <w:uiPriority w:val="0"/>
    <w:pPr>
      <w:widowControl/>
      <w:ind w:firstLine="480"/>
    </w:pPr>
    <w:rPr>
      <w:rFonts w:cs="Arial"/>
      <w:kern w:val="0"/>
    </w:rPr>
  </w:style>
  <w:style w:type="character" w:customStyle="1" w:styleId="71">
    <w:name w:val="表格 居中 Char"/>
    <w:link w:val="42"/>
    <w:qFormat/>
    <w:uiPriority w:val="0"/>
    <w:rPr>
      <w:rFonts w:ascii="Times New Roman" w:hAnsi="Times New Roman"/>
      <w:sz w:val="21"/>
    </w:rPr>
  </w:style>
  <w:style w:type="paragraph" w:customStyle="1" w:styleId="72">
    <w:name w:val="列表2"/>
    <w:basedOn w:val="1"/>
    <w:autoRedefine/>
    <w:qFormat/>
    <w:uiPriority w:val="99"/>
    <w:pPr>
      <w:spacing w:line="360" w:lineRule="exact"/>
      <w:jc w:val="center"/>
    </w:pPr>
    <w:rPr>
      <w:rFonts w:ascii="仿宋_GB2312" w:eastAsia="仿宋_GB2312"/>
    </w:rPr>
  </w:style>
  <w:style w:type="character" w:customStyle="1" w:styleId="73">
    <w:name w:val="font11"/>
    <w:basedOn w:val="30"/>
    <w:qFormat/>
    <w:uiPriority w:val="0"/>
    <w:rPr>
      <w:rFonts w:hint="eastAsia" w:ascii="宋体" w:hAnsi="宋体" w:eastAsia="宋体" w:cs="宋体"/>
      <w:color w:val="000000"/>
      <w:sz w:val="21"/>
      <w:szCs w:val="21"/>
      <w:u w:val="none"/>
    </w:rPr>
  </w:style>
  <w:style w:type="character" w:customStyle="1" w:styleId="74">
    <w:name w:val="书籍标题1"/>
    <w:qFormat/>
    <w:uiPriority w:val="33"/>
    <w:rPr>
      <w:rFonts w:eastAsia="宋体"/>
      <w:b/>
      <w:bCs/>
      <w:sz w:val="30"/>
      <w:szCs w:val="30"/>
    </w:rPr>
  </w:style>
  <w:style w:type="character" w:customStyle="1" w:styleId="75">
    <w:name w:val="font01"/>
    <w:basedOn w:val="30"/>
    <w:qFormat/>
    <w:uiPriority w:val="0"/>
    <w:rPr>
      <w:rFonts w:hint="eastAsia" w:ascii="宋体" w:hAnsi="宋体" w:eastAsia="宋体" w:cs="宋体"/>
      <w:color w:val="000000"/>
      <w:sz w:val="24"/>
      <w:szCs w:val="24"/>
      <w:u w:val="none"/>
    </w:rPr>
  </w:style>
  <w:style w:type="paragraph" w:customStyle="1" w:styleId="76">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77">
    <w:name w:val="图片"/>
    <w:basedOn w:val="1"/>
    <w:next w:val="78"/>
    <w:qFormat/>
    <w:uiPriority w:val="0"/>
    <w:pPr>
      <w:jc w:val="center"/>
    </w:pPr>
    <w:rPr>
      <w:rFonts w:eastAsia="仿宋" w:cstheme="minorBidi"/>
      <w:sz w:val="28"/>
      <w:szCs w:val="22"/>
    </w:rPr>
  </w:style>
  <w:style w:type="paragraph" w:customStyle="1" w:styleId="78">
    <w:name w:val="仿宋GB正文"/>
    <w:basedOn w:val="1"/>
    <w:qFormat/>
    <w:uiPriority w:val="0"/>
    <w:pPr>
      <w:ind w:firstLine="200"/>
    </w:pPr>
    <w:rPr>
      <w:rFonts w:eastAsia="仿宋_GB2312" w:cstheme="minorBidi"/>
      <w:szCs w:val="22"/>
    </w:rPr>
  </w:style>
  <w:style w:type="paragraph" w:customStyle="1" w:styleId="79">
    <w:name w:val="表/图"/>
    <w:basedOn w:val="1"/>
    <w:qFormat/>
    <w:uiPriority w:val="0"/>
    <w:pPr>
      <w:adjustRightInd w:val="0"/>
      <w:snapToGrid w:val="0"/>
      <w:spacing w:line="276" w:lineRule="auto"/>
      <w:jc w:val="center"/>
    </w:pPr>
    <w:rPr>
      <w:rFonts w:eastAsia="仿宋"/>
    </w:rPr>
  </w:style>
  <w:style w:type="paragraph" w:customStyle="1" w:styleId="80">
    <w:name w:val="列表段落1"/>
    <w:autoRedefine/>
    <w:qFormat/>
    <w:uiPriority w:val="0"/>
    <w:pPr>
      <w:widowControl w:val="0"/>
      <w:ind w:left="420"/>
      <w:jc w:val="center"/>
    </w:pPr>
    <w:rPr>
      <w:rFonts w:ascii="Times New Roman" w:hAnsi="Times New Roman" w:eastAsia="宋体" w:cs="Times New Roman"/>
      <w:b/>
      <w:kern w:val="2"/>
      <w:sz w:val="21"/>
      <w:szCs w:val="21"/>
      <w:lang w:val="en-US" w:eastAsia="zh-CN" w:bidi="ar-SA"/>
    </w:rPr>
  </w:style>
  <w:style w:type="paragraph" w:customStyle="1" w:styleId="81">
    <w:name w:val="YY书正文"/>
    <w:basedOn w:val="1"/>
    <w:qFormat/>
    <w:uiPriority w:val="0"/>
    <w:pPr>
      <w:adjustRightInd w:val="0"/>
      <w:snapToGrid w:val="0"/>
      <w:spacing w:line="324" w:lineRule="auto"/>
      <w:ind w:firstLine="200"/>
    </w:pPr>
    <w:rPr>
      <w:rFonts w:eastAsia="仿宋_GB2312"/>
    </w:rPr>
  </w:style>
  <w:style w:type="character" w:customStyle="1" w:styleId="82">
    <w:name w:val="样式16 Char"/>
    <w:link w:val="55"/>
    <w:qFormat/>
    <w:uiPriority w:val="0"/>
    <w:rPr>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jpeg"/><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48</Pages>
  <Words>115</Words>
  <Characters>150</Characters>
  <Lines>910</Lines>
  <Paragraphs>256</Paragraphs>
  <TotalTime>0</TotalTime>
  <ScaleCrop>false</ScaleCrop>
  <LinksUpToDate>false</LinksUpToDate>
  <CharactersWithSpaces>151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2025-11-12T03:29:00Z</dcterms:created>
  <dc:creator>〃</dc:creator>
  <cp:lastModifiedBy>N.s.</cp:lastModifiedBy>
  <cp:lastPrinted>2025-11-11T00:41:00Z</cp:lastPrinted>
  <dcterms:modified xsi:type="dcterms:W3CDTF">2026-01-27T08:16:00Z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684E08BC8FDE4A79BCDFEAABB4F74DEF_13</vt:lpwstr>
  </property>
  <property fmtid="{D5CDD505-2E9C-101B-9397-08002B2CF9AE}" pid="4" name="KSOTemplateDocerSaveRecord">
    <vt:lpwstr>eyJoZGlkIjoiNWQ1YmUzZjU2ZDBjNmEzNzEzYjQ4YjljMjUzZmQyNmEiLCJ1c2VySWQiOiIxMzMzNDc0MDcwIn0=</vt:lpwstr>
  </property>
</Properties>
</file>