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CA7FD0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关于久保田发动机（无锡）有限公司</w:t>
      </w:r>
    </w:p>
    <w:p w14:paraId="4FE1718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年产10万台高效柴油发动机</w:t>
      </w:r>
    </w:p>
    <w:p w14:paraId="61A46DA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技改项目环境影响</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久保田发动机（无锡）有限公司：</w:t>
      </w:r>
    </w:p>
    <w:p w14:paraId="0B5DEC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你单位报送的由无锡新视野环保有限公司编制的《久保田发动机（无锡）有限公司年产10万台高效柴油发动机技改项目环境影响报告表》（以下称“报告表”）等相关材料均悉。经研究，审批意见如下：</w:t>
      </w:r>
    </w:p>
    <w:p w14:paraId="32B5DB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EDDD7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技改，建设地点为无锡市新吴区高新区新华路20号，总投资2123万元，建设年产10万台高效柴油发动机技改项目（技改内容：对原有溶剂型油漆和稀释剂进行清洁原料替代；组装线和喷涂线增加补漆工序；增设测试线、抽查线各一条），全厂设计生产规模不变，仍为年产10万台高效柴油发动机的生产能力。项目投产后的产品、规模、生产工艺、设备的类型和数量必须符合报告表内容。</w:t>
      </w:r>
    </w:p>
    <w:p w14:paraId="6BF78F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7B3154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CEC14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 本项目不新增废水产生及排放，全厂废水排放按照原环评及批复执行。</w:t>
      </w:r>
    </w:p>
    <w:p w14:paraId="7D35F7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测试废气经有效收集，采用“中效过滤器+脉冲滤筒除尘器”处理后，尾气通过20米高排气筒FQ-001排放；喷涂线喷漆废气、清洗废气经有效收集后采用“水旋式净化系统+过滤棉”处理，烘干废气经有效收集后采用焚烧装置处理，喷涂线补漆废气、组装线补漆废气经有效收集后采用过滤棉处理，以上废气再一并进入“干式过滤箱+沸石浓缩转轮+RTO装置”处理后，尾气与天然气燃烧废气通过15米高排气筒FQ-003排放。本项目共设排气筒2根，均依托现有。</w:t>
      </w:r>
    </w:p>
    <w:p w14:paraId="15A2EA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测试工序产生的颗粒物、非甲烷总烃、二氧化硫、氮氧化物有组织排放执行《大气污染物综合排放标准》（DB32/4041-2021）表1标准；喷漆、补漆工序产生的非甲烷总烃、颗粒物、苯系物有组织排放执行《工业涂装工序大气污染物排放标准》(DB32/4439-2022) 表1标准，VOCs燃烧装置、天然气燃烧废气中二氧化硫、氮氧化物执行《工业炉窑大气污染物排放标准》(DB32/3728-2020) 表1标准；无组织排放的非甲烷总烃、颗粒物、苯系物、二氧化硫、氮氧化物执行《大气污染物综合排放标准》（DB32/4041-2021）表3标准；厂区内非甲烷总烃无组织排放限值执行《工业涂装工序大气污染物排放标准》（DB32/4439-2022）表3标准。</w:t>
      </w:r>
    </w:p>
    <w:p w14:paraId="0B681A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南侧沿新华路厂界噪声达到《工业企业厂界环境噪声排放标准》（GB12348-2008）4类排放标准，其余厂界达到《工业企业厂界环境噪声排放标准》（GB12348-2008）3类排放标准。</w:t>
      </w:r>
    </w:p>
    <w:p w14:paraId="54E288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E1546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E78A3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7.按《江苏省排污口设置及规范化整治管理办法》（苏环控〔1997〕122号）的要求规范化设置各类排污口和标识。单个排气筒处理规模30000m</w:t>
      </w:r>
      <w:r>
        <w:rPr>
          <w:rFonts w:hint="default" w:ascii="Times New Roman" w:hAnsi="Times New Roman" w:eastAsia="仿宋" w:cs="Times New Roman"/>
          <w:sz w:val="32"/>
          <w:szCs w:val="32"/>
          <w:vertAlign w:val="superscript"/>
          <w:lang w:val="en-US" w:eastAsia="zh-CN"/>
        </w:rPr>
        <w:t>3</w:t>
      </w:r>
      <w:r>
        <w:rPr>
          <w:rFonts w:hint="default" w:ascii="Times New Roman" w:hAnsi="Times New Roman" w:eastAsia="仿宋" w:cs="Times New Roman"/>
          <w:sz w:val="32"/>
          <w:szCs w:val="32"/>
          <w:lang w:val="en-US" w:eastAsia="zh-CN"/>
        </w:rPr>
        <w:t>/h以上的有机废气排气筒出口安装VOCs自动监控设备，在线监测数据与新吴生态环境部门联网，确保有效运行。</w:t>
      </w:r>
    </w:p>
    <w:p w14:paraId="7297F5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8.根据报告表推荐，全厂生产车间外100米范围内，不得新建居民住宅区、学校、医院等环境保护敏感点。</w:t>
      </w:r>
    </w:p>
    <w:p w14:paraId="7A9C51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16FC5C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本项目）颗粒物≤0.4549吨、非甲烷总烃≤2.5488吨（其中苯系物≤0.0900吨）、二氧化硫≤2.0497吨、氮氧化物≤3.2862吨；（全厂）颗粒物≤0.4585吨、非甲烷总烃≤2.5488吨（其中苯系物≤0.0900吨）、二氧化硫≤2.0697吨、氮氧化物≤3.3562吨。</w:t>
      </w:r>
    </w:p>
    <w:p w14:paraId="652139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2.水污染物（接管考核量）：（全厂）废水排放量≤6375吨；COD≤0.956吨、SS≤0.638吨、氨氮（生活）≤0.064吨、总氮（生活）≤0.255吨、总磷（生活）≤0.006吨、动植物油≤0.064吨。</w:t>
      </w:r>
    </w:p>
    <w:p w14:paraId="541D55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29B93F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03F745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D06C7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六、开展内部污染防治设施（粉尘治理、RTO焚烧类等环境治理设施）安全风险辨识，健全污染防治设施稳定运行和管理责任制度，严格依据标准规范建设环境治理设施，确保环境治理设施安全、稳定、有效运行。</w:t>
      </w:r>
      <w:bookmarkStart w:id="0" w:name="_GoBack"/>
      <w:bookmarkEnd w:id="0"/>
    </w:p>
    <w:p w14:paraId="0D9D05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 w:cs="Times New Roman"/>
        </w:rPr>
      </w:pPr>
    </w:p>
    <w:p w14:paraId="664818E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（项目代码：2411-320214-89-02-217092）</w:t>
      </w: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7B9A49C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21</w:t>
      </w:r>
      <w:r>
        <w:rPr>
          <w:rFonts w:hint="default" w:ascii="Times New Roman" w:hAnsi="Times New Roman" w:eastAsia="仿宋" w:cs="Times New Roman"/>
          <w:sz w:val="32"/>
          <w:szCs w:val="32"/>
        </w:rPr>
        <w:t>日</w:t>
      </w:r>
    </w:p>
    <w:p w14:paraId="1EB0E2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77DAC6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E00E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2F0D2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9CA0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452B6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1C95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C2C41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90BE1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3DF7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10F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5A423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9C7D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D88FA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B4B6F7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64B15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001C2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138D0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4FD2D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94A0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903E3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7AA0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890AB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27AB0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3EE0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061C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59314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61D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9B7E7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BF55F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2CA4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C0421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EA042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20FF4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0DEC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DC678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05DDD5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184A7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DD8D3D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4C25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AA4F1F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E344A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8E20D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4709D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1E9C2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65FE7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0AEB70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7A87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F4195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7956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194B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7FBC3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D6341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B9F0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3CE1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A55FB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12DD55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88EBE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257E8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5C87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26BF9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E1006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CB266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C1080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03EF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75F8B4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F3CF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E12B4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C171C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F1A164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63754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B0017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76D7A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C114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0406F5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7C709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3DA598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11D80C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4E2762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EBE3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92618B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55756E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92325B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41A63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4A26A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2218EC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D8A87C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B0C80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D15EF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B9183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E440CC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89AA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8237DE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94E0C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588C6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FD84F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E16A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77A9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07A67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79F1EC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F59F25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F1C3D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CD8F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D1755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6A5BA3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F0931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8306A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501C2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3612EB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9C015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840F8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F7EE6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8463F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F6431B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AB12E9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F856DC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42C28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2E02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74E0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B37E5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06F329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5FC604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150A8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5D0CB2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1D3917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6BE9A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7FF07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F2079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3D222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56B4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F96D6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423AC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CE1DB5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1D2132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74B29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A5F4FC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0F29BF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5CB355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98DAB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C55C8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219E8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5967B6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618501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21</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E6219F"/>
    <w:rsid w:val="0A5174EF"/>
    <w:rsid w:val="0A6F1E1C"/>
    <w:rsid w:val="0A981A56"/>
    <w:rsid w:val="0AC07FB5"/>
    <w:rsid w:val="0AC91212"/>
    <w:rsid w:val="0ADA45F5"/>
    <w:rsid w:val="0AE16C2D"/>
    <w:rsid w:val="0B6C0A07"/>
    <w:rsid w:val="0B7A483A"/>
    <w:rsid w:val="0BD43934"/>
    <w:rsid w:val="0BF07B62"/>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313232"/>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7DA1532"/>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2844</Words>
  <Characters>3370</Characters>
  <Lines>18</Lines>
  <Paragraphs>5</Paragraphs>
  <TotalTime>21</TotalTime>
  <ScaleCrop>false</ScaleCrop>
  <LinksUpToDate>false</LinksUpToDate>
  <CharactersWithSpaces>3450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2026-01-21T01:54:05Z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