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6969C">
      <w:pPr>
        <w:adjustRightInd w:val="0"/>
        <w:snapToGrid w:val="0"/>
        <w:jc w:val="center"/>
        <w:outlineLvl w:val="0"/>
        <w:rPr>
          <w:bCs/>
          <w:color w:val="auto"/>
          <w:sz w:val="72"/>
          <w:szCs w:val="72"/>
        </w:rPr>
      </w:pPr>
    </w:p>
    <w:p w14:paraId="203CC553">
      <w:pPr>
        <w:adjustRightInd w:val="0"/>
        <w:snapToGrid w:val="0"/>
        <w:spacing w:line="240" w:lineRule="auto"/>
        <w:jc w:val="center"/>
        <w:outlineLvl w:val="0"/>
        <w:rPr>
          <w:rFonts w:eastAsia="方正小标宋_GBK"/>
          <w:bCs/>
          <w:color w:val="auto"/>
          <w:sz w:val="72"/>
          <w:szCs w:val="72"/>
        </w:rPr>
      </w:pPr>
      <w:r>
        <w:rPr>
          <w:rFonts w:eastAsia="方正小标宋_GBK"/>
          <w:bCs/>
          <w:color w:val="auto"/>
          <w:sz w:val="72"/>
          <w:szCs w:val="72"/>
        </w:rPr>
        <w:t>建设项目环境影响报告表</w:t>
      </w:r>
    </w:p>
    <w:p w14:paraId="566AD525">
      <w:pPr>
        <w:adjustRightInd w:val="0"/>
        <w:snapToGrid w:val="0"/>
        <w:spacing w:before="192" w:beforeLines="80" w:line="240" w:lineRule="auto"/>
        <w:jc w:val="center"/>
        <w:rPr>
          <w:rFonts w:eastAsia="楷体_GB2312"/>
          <w:bCs/>
          <w:color w:val="auto"/>
          <w:sz w:val="48"/>
          <w:szCs w:val="48"/>
        </w:rPr>
      </w:pPr>
      <w:r>
        <w:rPr>
          <w:rFonts w:eastAsia="楷体_GB2312"/>
          <w:bCs/>
          <w:color w:val="auto"/>
          <w:sz w:val="48"/>
          <w:szCs w:val="48"/>
        </w:rPr>
        <w:t>（污染影响类）</w:t>
      </w:r>
    </w:p>
    <w:p w14:paraId="5B7FDE08">
      <w:pPr>
        <w:ind w:firstLine="1040"/>
        <w:rPr>
          <w:color w:val="auto"/>
          <w:sz w:val="44"/>
          <w:szCs w:val="44"/>
        </w:rPr>
      </w:pPr>
    </w:p>
    <w:p w14:paraId="5375C0D5">
      <w:pPr>
        <w:ind w:firstLine="1040"/>
        <w:rPr>
          <w:color w:val="auto"/>
          <w:sz w:val="44"/>
          <w:szCs w:val="44"/>
        </w:rPr>
      </w:pPr>
    </w:p>
    <w:tbl>
      <w:tblPr>
        <w:tblStyle w:val="27"/>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5"/>
        <w:gridCol w:w="7074"/>
      </w:tblGrid>
      <w:tr w14:paraId="1E96D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2525" w:type="dxa"/>
            <w:tcBorders>
              <w:top w:val="nil"/>
              <w:left w:val="nil"/>
              <w:bottom w:val="nil"/>
              <w:right w:val="nil"/>
            </w:tcBorders>
            <w:vAlign w:val="center"/>
          </w:tcPr>
          <w:p w14:paraId="677382BE">
            <w:pPr>
              <w:spacing w:line="240" w:lineRule="auto"/>
              <w:jc w:val="center"/>
              <w:rPr>
                <w:rFonts w:eastAsia="仿宋"/>
                <w:color w:val="auto"/>
                <w:sz w:val="36"/>
                <w:szCs w:val="36"/>
              </w:rPr>
            </w:pPr>
            <w:r>
              <w:rPr>
                <w:rFonts w:eastAsia="仿宋"/>
                <w:color w:val="auto"/>
                <w:sz w:val="36"/>
                <w:szCs w:val="36"/>
              </w:rPr>
              <w:t>项目名称：</w:t>
            </w:r>
          </w:p>
        </w:tc>
        <w:tc>
          <w:tcPr>
            <w:tcW w:w="7074" w:type="dxa"/>
            <w:tcBorders>
              <w:top w:val="nil"/>
              <w:left w:val="nil"/>
              <w:bottom w:val="single" w:color="auto" w:sz="4" w:space="0"/>
              <w:right w:val="nil"/>
            </w:tcBorders>
            <w:vAlign w:val="center"/>
          </w:tcPr>
          <w:p w14:paraId="556BAB48">
            <w:pPr>
              <w:spacing w:line="240" w:lineRule="auto"/>
              <w:jc w:val="center"/>
              <w:rPr>
                <w:rFonts w:eastAsia="仿宋"/>
                <w:color w:val="auto"/>
                <w:sz w:val="36"/>
                <w:szCs w:val="36"/>
              </w:rPr>
            </w:pPr>
            <w:r>
              <w:rPr>
                <w:rFonts w:hint="eastAsia" w:eastAsia="仿宋"/>
                <w:color w:val="auto"/>
                <w:sz w:val="36"/>
                <w:szCs w:val="36"/>
              </w:rPr>
              <w:t>年产400万平方米基布项目</w:t>
            </w:r>
          </w:p>
        </w:tc>
      </w:tr>
      <w:tr w14:paraId="6804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5" w:type="dxa"/>
            <w:tcBorders>
              <w:top w:val="nil"/>
              <w:left w:val="nil"/>
              <w:bottom w:val="nil"/>
              <w:right w:val="nil"/>
            </w:tcBorders>
            <w:vAlign w:val="center"/>
          </w:tcPr>
          <w:p w14:paraId="1BD43F01">
            <w:pPr>
              <w:spacing w:line="240" w:lineRule="auto"/>
              <w:jc w:val="center"/>
              <w:rPr>
                <w:rFonts w:eastAsia="仿宋"/>
                <w:color w:val="auto"/>
                <w:sz w:val="36"/>
                <w:szCs w:val="36"/>
              </w:rPr>
            </w:pPr>
            <w:r>
              <w:rPr>
                <w:rFonts w:hint="eastAsia" w:eastAsia="仿宋"/>
                <w:color w:val="auto"/>
                <w:sz w:val="36"/>
                <w:szCs w:val="36"/>
              </w:rPr>
              <w:t>建设单位</w:t>
            </w:r>
            <w:r>
              <w:rPr>
                <w:rFonts w:eastAsia="仿宋"/>
                <w:color w:val="auto"/>
                <w:sz w:val="36"/>
                <w:szCs w:val="36"/>
              </w:rPr>
              <w:t>：</w:t>
            </w:r>
          </w:p>
        </w:tc>
        <w:tc>
          <w:tcPr>
            <w:tcW w:w="7074" w:type="dxa"/>
            <w:tcBorders>
              <w:top w:val="single" w:color="auto" w:sz="4" w:space="0"/>
              <w:left w:val="nil"/>
              <w:bottom w:val="single" w:color="auto" w:sz="4" w:space="0"/>
              <w:right w:val="nil"/>
            </w:tcBorders>
            <w:vAlign w:val="center"/>
          </w:tcPr>
          <w:p w14:paraId="3881D63E">
            <w:pPr>
              <w:spacing w:line="240" w:lineRule="auto"/>
              <w:jc w:val="center"/>
              <w:rPr>
                <w:rFonts w:eastAsia="仿宋"/>
                <w:color w:val="auto"/>
                <w:sz w:val="36"/>
                <w:szCs w:val="36"/>
              </w:rPr>
            </w:pPr>
            <w:r>
              <w:rPr>
                <w:rFonts w:hint="eastAsia" w:eastAsia="仿宋"/>
                <w:color w:val="auto"/>
                <w:sz w:val="36"/>
                <w:szCs w:val="36"/>
              </w:rPr>
              <w:t>江阴市万超国际贸易有限公司</w:t>
            </w:r>
          </w:p>
        </w:tc>
      </w:tr>
      <w:tr w14:paraId="6A972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525" w:type="dxa"/>
            <w:tcBorders>
              <w:top w:val="nil"/>
              <w:left w:val="nil"/>
              <w:bottom w:val="nil"/>
              <w:right w:val="nil"/>
            </w:tcBorders>
            <w:vAlign w:val="center"/>
          </w:tcPr>
          <w:p w14:paraId="1AC3C59F">
            <w:pPr>
              <w:spacing w:line="240" w:lineRule="auto"/>
              <w:jc w:val="center"/>
              <w:rPr>
                <w:rFonts w:eastAsia="仿宋"/>
                <w:color w:val="auto"/>
                <w:sz w:val="36"/>
                <w:szCs w:val="36"/>
              </w:rPr>
            </w:pPr>
            <w:r>
              <w:rPr>
                <w:rFonts w:eastAsia="仿宋"/>
                <w:color w:val="auto"/>
                <w:sz w:val="36"/>
                <w:szCs w:val="36"/>
              </w:rPr>
              <w:t>编制日期：</w:t>
            </w:r>
          </w:p>
        </w:tc>
        <w:tc>
          <w:tcPr>
            <w:tcW w:w="7074" w:type="dxa"/>
            <w:tcBorders>
              <w:top w:val="single" w:color="auto" w:sz="4" w:space="0"/>
              <w:left w:val="nil"/>
              <w:bottom w:val="single" w:color="auto" w:sz="4" w:space="0"/>
              <w:right w:val="nil"/>
            </w:tcBorders>
            <w:vAlign w:val="center"/>
          </w:tcPr>
          <w:p w14:paraId="63811889">
            <w:pPr>
              <w:spacing w:line="240" w:lineRule="auto"/>
              <w:jc w:val="center"/>
              <w:rPr>
                <w:rFonts w:eastAsia="仿宋"/>
                <w:color w:val="auto"/>
                <w:sz w:val="44"/>
                <w:szCs w:val="44"/>
              </w:rPr>
            </w:pPr>
            <w:r>
              <w:rPr>
                <w:rFonts w:hint="eastAsia" w:eastAsia="仿宋"/>
                <w:color w:val="auto"/>
                <w:sz w:val="36"/>
                <w:szCs w:val="36"/>
              </w:rPr>
              <w:t>2025年10月</w:t>
            </w:r>
          </w:p>
        </w:tc>
      </w:tr>
    </w:tbl>
    <w:p w14:paraId="44B24555">
      <w:pPr>
        <w:pStyle w:val="25"/>
        <w:ind w:left="0" w:leftChars="0" w:firstLine="0" w:firstLineChars="0"/>
        <w:rPr>
          <w:rFonts w:hint="default" w:ascii="Times New Roman" w:hAnsi="Times New Roman"/>
          <w:color w:val="auto"/>
          <w:sz w:val="44"/>
          <w:szCs w:val="44"/>
        </w:rPr>
      </w:pPr>
    </w:p>
    <w:p w14:paraId="061A9D9B">
      <w:pPr>
        <w:pStyle w:val="24"/>
        <w:ind w:firstLine="440"/>
        <w:rPr>
          <w:rFonts w:ascii="Times New Roman" w:hAnsi="Times New Roman" w:eastAsia="宋体" w:cs="Times New Roman"/>
          <w:color w:val="auto"/>
          <w:sz w:val="44"/>
          <w:szCs w:val="44"/>
        </w:rPr>
      </w:pPr>
    </w:p>
    <w:p w14:paraId="461D00F9">
      <w:pPr>
        <w:adjustRightInd w:val="0"/>
        <w:snapToGrid w:val="0"/>
        <w:spacing w:line="288" w:lineRule="auto"/>
        <w:jc w:val="left"/>
        <w:rPr>
          <w:rFonts w:eastAsia="仿宋_GB2312"/>
          <w:color w:val="auto"/>
          <w:sz w:val="36"/>
          <w:szCs w:val="36"/>
        </w:rPr>
      </w:pPr>
    </w:p>
    <w:p w14:paraId="61BB3D1A">
      <w:pPr>
        <w:rPr>
          <w:rFonts w:eastAsia="仿宋"/>
          <w:color w:val="auto"/>
        </w:rPr>
      </w:pPr>
      <w:bookmarkStart w:id="0" w:name="_Hlk57884087"/>
    </w:p>
    <w:p w14:paraId="6723F6D1">
      <w:pPr>
        <w:rPr>
          <w:color w:val="auto"/>
        </w:rPr>
      </w:pPr>
    </w:p>
    <w:p w14:paraId="69C0B11A">
      <w:pPr>
        <w:rPr>
          <w:color w:val="auto"/>
        </w:rPr>
      </w:pPr>
    </w:p>
    <w:p w14:paraId="205711FB">
      <w:pPr>
        <w:pStyle w:val="25"/>
        <w:ind w:left="0" w:leftChars="0" w:firstLine="0" w:firstLineChars="0"/>
        <w:rPr>
          <w:rFonts w:hint="default" w:ascii="Times New Roman" w:hAnsi="Times New Roman"/>
          <w:color w:val="auto"/>
        </w:rPr>
      </w:pPr>
    </w:p>
    <w:p w14:paraId="4759945D">
      <w:pPr>
        <w:rPr>
          <w:color w:val="auto"/>
        </w:rPr>
      </w:pPr>
    </w:p>
    <w:bookmarkEnd w:id="0"/>
    <w:p w14:paraId="529D86E1">
      <w:pPr>
        <w:adjustRightInd w:val="0"/>
        <w:snapToGrid w:val="0"/>
        <w:spacing w:line="288" w:lineRule="auto"/>
        <w:jc w:val="center"/>
        <w:rPr>
          <w:color w:val="auto"/>
          <w:sz w:val="36"/>
          <w:szCs w:val="36"/>
        </w:rPr>
      </w:pPr>
      <w:r>
        <w:rPr>
          <w:rFonts w:eastAsia="楷体_GB2312"/>
          <w:color w:val="auto"/>
          <w:sz w:val="36"/>
          <w:szCs w:val="36"/>
        </w:rPr>
        <w:t>中华人民共和国生态环境部制</w:t>
      </w:r>
    </w:p>
    <w:p w14:paraId="004C5071">
      <w:pPr>
        <w:adjustRightInd w:val="0"/>
        <w:snapToGrid w:val="0"/>
        <w:spacing w:line="288" w:lineRule="auto"/>
        <w:ind w:firstLine="1040"/>
        <w:rPr>
          <w:color w:val="auto"/>
          <w:sz w:val="36"/>
          <w:szCs w:val="36"/>
        </w:rPr>
      </w:pPr>
    </w:p>
    <w:p w14:paraId="33B98121">
      <w:pPr>
        <w:pStyle w:val="2"/>
        <w:rPr>
          <w:color w:val="auto"/>
          <w:sz w:val="36"/>
          <w:szCs w:val="36"/>
        </w:rPr>
      </w:pPr>
    </w:p>
    <w:p w14:paraId="022E2B44">
      <w:pPr>
        <w:pStyle w:val="3"/>
        <w:widowControl w:val="0"/>
        <w:numPr>
          <w:ilvl w:val="0"/>
          <w:numId w:val="0"/>
        </w:numPr>
        <w:spacing w:line="360" w:lineRule="auto"/>
        <w:jc w:val="both"/>
        <w:rPr>
          <w:color w:val="auto"/>
          <w:sz w:val="36"/>
          <w:szCs w:val="36"/>
        </w:rPr>
        <w:sectPr>
          <w:footerReference r:id="rId5" w:type="default"/>
          <w:footerReference r:id="rId6"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14:paraId="0AB6A558">
      <w:pPr>
        <w:jc w:val="center"/>
        <w:outlineLvl w:val="0"/>
        <w:rPr>
          <w:color w:val="auto"/>
          <w:sz w:val="28"/>
          <w:szCs w:val="28"/>
        </w:rPr>
      </w:pPr>
      <w:r>
        <w:rPr>
          <w:snapToGrid w:val="0"/>
          <w:color w:val="auto"/>
          <w:sz w:val="28"/>
          <w:szCs w:val="28"/>
        </w:rPr>
        <w:t>一、建设项目基本情况</w:t>
      </w:r>
    </w:p>
    <w:tbl>
      <w:tblPr>
        <w:tblStyle w:val="26"/>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27"/>
        <w:gridCol w:w="2665"/>
        <w:gridCol w:w="1950"/>
        <w:gridCol w:w="3328"/>
      </w:tblGrid>
      <w:tr w14:paraId="7E2D9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27" w:type="dxa"/>
            <w:tcBorders>
              <w:tl2br w:val="nil"/>
            </w:tcBorders>
            <w:shd w:val="clear" w:color="auto" w:fill="auto"/>
            <w:tcMar>
              <w:top w:w="16" w:type="dxa"/>
              <w:left w:w="16" w:type="dxa"/>
              <w:right w:w="16" w:type="dxa"/>
            </w:tcMar>
            <w:vAlign w:val="center"/>
          </w:tcPr>
          <w:p w14:paraId="1BF1CD7B">
            <w:pPr>
              <w:adjustRightInd w:val="0"/>
              <w:snapToGrid w:val="0"/>
              <w:spacing w:line="240" w:lineRule="auto"/>
              <w:jc w:val="center"/>
              <w:rPr>
                <w:color w:val="auto"/>
                <w:sz w:val="24"/>
                <w:szCs w:val="24"/>
              </w:rPr>
            </w:pPr>
            <w:r>
              <w:rPr>
                <w:color w:val="auto"/>
                <w:sz w:val="24"/>
                <w:szCs w:val="24"/>
              </w:rPr>
              <w:t>建设项目名称</w:t>
            </w:r>
          </w:p>
        </w:tc>
        <w:tc>
          <w:tcPr>
            <w:tcW w:w="7943" w:type="dxa"/>
            <w:gridSpan w:val="3"/>
            <w:shd w:val="clear" w:color="auto" w:fill="auto"/>
            <w:vAlign w:val="center"/>
          </w:tcPr>
          <w:p w14:paraId="2664A57E">
            <w:pPr>
              <w:adjustRightInd w:val="0"/>
              <w:snapToGrid w:val="0"/>
              <w:spacing w:line="240" w:lineRule="auto"/>
              <w:jc w:val="center"/>
              <w:rPr>
                <w:color w:val="auto"/>
                <w:sz w:val="24"/>
                <w:szCs w:val="24"/>
              </w:rPr>
            </w:pPr>
            <w:r>
              <w:rPr>
                <w:color w:val="auto"/>
                <w:sz w:val="24"/>
                <w:szCs w:val="24"/>
              </w:rPr>
              <w:t>年产400万平方</w:t>
            </w:r>
            <w:r>
              <w:rPr>
                <w:rFonts w:hint="eastAsia"/>
                <w:color w:val="auto"/>
                <w:sz w:val="24"/>
                <w:szCs w:val="24"/>
              </w:rPr>
              <w:t>米</w:t>
            </w:r>
            <w:r>
              <w:rPr>
                <w:color w:val="auto"/>
                <w:sz w:val="24"/>
                <w:szCs w:val="24"/>
              </w:rPr>
              <w:t>基布项目</w:t>
            </w:r>
          </w:p>
        </w:tc>
      </w:tr>
      <w:tr w14:paraId="46CF7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27" w:type="dxa"/>
            <w:shd w:val="clear" w:color="auto" w:fill="auto"/>
            <w:tcMar>
              <w:top w:w="16" w:type="dxa"/>
              <w:left w:w="16" w:type="dxa"/>
              <w:right w:w="16" w:type="dxa"/>
            </w:tcMar>
            <w:vAlign w:val="center"/>
          </w:tcPr>
          <w:p w14:paraId="362348BA">
            <w:pPr>
              <w:adjustRightInd w:val="0"/>
              <w:snapToGrid w:val="0"/>
              <w:spacing w:line="240" w:lineRule="auto"/>
              <w:jc w:val="center"/>
              <w:rPr>
                <w:color w:val="auto"/>
                <w:sz w:val="24"/>
                <w:szCs w:val="24"/>
              </w:rPr>
            </w:pPr>
            <w:r>
              <w:rPr>
                <w:color w:val="auto"/>
                <w:sz w:val="24"/>
                <w:szCs w:val="24"/>
              </w:rPr>
              <w:t>项目代码</w:t>
            </w:r>
          </w:p>
        </w:tc>
        <w:tc>
          <w:tcPr>
            <w:tcW w:w="7943" w:type="dxa"/>
            <w:gridSpan w:val="3"/>
            <w:shd w:val="clear" w:color="auto" w:fill="auto"/>
            <w:vAlign w:val="center"/>
          </w:tcPr>
          <w:p w14:paraId="02A9CAA3">
            <w:pPr>
              <w:adjustRightInd w:val="0"/>
              <w:snapToGrid w:val="0"/>
              <w:spacing w:line="240" w:lineRule="auto"/>
              <w:jc w:val="center"/>
              <w:rPr>
                <w:color w:val="auto"/>
                <w:sz w:val="24"/>
                <w:szCs w:val="24"/>
              </w:rPr>
            </w:pPr>
            <w:r>
              <w:rPr>
                <w:color w:val="auto"/>
                <w:sz w:val="24"/>
                <w:szCs w:val="24"/>
                <w:lang w:val="en-US" w:eastAsia="zh-CN"/>
              </w:rPr>
              <w:t>2511-320267-89-03-140840</w:t>
            </w:r>
          </w:p>
        </w:tc>
      </w:tr>
      <w:tr w14:paraId="08FC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27" w:type="dxa"/>
            <w:shd w:val="clear" w:color="auto" w:fill="auto"/>
            <w:tcMar>
              <w:top w:w="16" w:type="dxa"/>
              <w:left w:w="16" w:type="dxa"/>
              <w:right w:w="16" w:type="dxa"/>
            </w:tcMar>
            <w:vAlign w:val="center"/>
          </w:tcPr>
          <w:p w14:paraId="1F5A4E8F">
            <w:pPr>
              <w:adjustRightInd w:val="0"/>
              <w:snapToGrid w:val="0"/>
              <w:spacing w:line="240" w:lineRule="auto"/>
              <w:jc w:val="center"/>
              <w:rPr>
                <w:color w:val="auto"/>
                <w:sz w:val="24"/>
                <w:szCs w:val="24"/>
              </w:rPr>
            </w:pPr>
            <w:r>
              <w:rPr>
                <w:color w:val="auto"/>
                <w:sz w:val="24"/>
                <w:szCs w:val="24"/>
              </w:rPr>
              <w:t>建设单位联系人</w:t>
            </w:r>
          </w:p>
        </w:tc>
        <w:tc>
          <w:tcPr>
            <w:tcW w:w="2665" w:type="dxa"/>
            <w:shd w:val="clear" w:color="auto" w:fill="auto"/>
            <w:vAlign w:val="center"/>
          </w:tcPr>
          <w:p w14:paraId="66848403">
            <w:pPr>
              <w:adjustRightInd w:val="0"/>
              <w:snapToGrid w:val="0"/>
              <w:spacing w:line="240" w:lineRule="auto"/>
              <w:jc w:val="center"/>
              <w:rPr>
                <w:rFonts w:hint="default" w:eastAsia="宋体"/>
                <w:color w:val="auto"/>
                <w:sz w:val="24"/>
                <w:szCs w:val="24"/>
                <w:lang w:val="en-US" w:eastAsia="zh-CN"/>
              </w:rPr>
            </w:pPr>
            <w:r>
              <w:rPr>
                <w:color w:val="auto"/>
                <w:sz w:val="24"/>
                <w:szCs w:val="24"/>
              </w:rPr>
              <w:t>钱</w:t>
            </w:r>
            <w:r>
              <w:rPr>
                <w:rFonts w:hint="eastAsia"/>
                <w:color w:val="auto"/>
                <w:sz w:val="24"/>
                <w:szCs w:val="24"/>
                <w:lang w:val="en-US" w:eastAsia="zh-CN"/>
              </w:rPr>
              <w:t>**</w:t>
            </w:r>
          </w:p>
        </w:tc>
        <w:tc>
          <w:tcPr>
            <w:tcW w:w="1950" w:type="dxa"/>
            <w:shd w:val="clear" w:color="auto" w:fill="auto"/>
            <w:vAlign w:val="center"/>
          </w:tcPr>
          <w:p w14:paraId="04C94C8C">
            <w:pPr>
              <w:adjustRightInd w:val="0"/>
              <w:snapToGrid w:val="0"/>
              <w:spacing w:line="240" w:lineRule="auto"/>
              <w:jc w:val="center"/>
              <w:rPr>
                <w:color w:val="auto"/>
                <w:sz w:val="24"/>
                <w:szCs w:val="24"/>
              </w:rPr>
            </w:pPr>
            <w:r>
              <w:rPr>
                <w:color w:val="auto"/>
                <w:sz w:val="24"/>
                <w:szCs w:val="24"/>
              </w:rPr>
              <w:t>联系方式</w:t>
            </w:r>
          </w:p>
        </w:tc>
        <w:tc>
          <w:tcPr>
            <w:tcW w:w="3328" w:type="dxa"/>
            <w:shd w:val="clear" w:color="auto" w:fill="auto"/>
            <w:vAlign w:val="center"/>
          </w:tcPr>
          <w:p w14:paraId="398A4817">
            <w:pPr>
              <w:adjustRightInd w:val="0"/>
              <w:snapToGrid w:val="0"/>
              <w:spacing w:line="240" w:lineRule="auto"/>
              <w:jc w:val="center"/>
              <w:rPr>
                <w:rFonts w:hint="default"/>
                <w:color w:val="auto"/>
                <w:sz w:val="24"/>
                <w:szCs w:val="24"/>
                <w:lang w:val="en-US"/>
              </w:rPr>
            </w:pPr>
            <w:r>
              <w:rPr>
                <w:color w:val="auto"/>
                <w:sz w:val="24"/>
                <w:szCs w:val="24"/>
              </w:rPr>
              <w:t>1595041</w:t>
            </w:r>
            <w:r>
              <w:rPr>
                <w:rFonts w:hint="eastAsia"/>
                <w:color w:val="auto"/>
                <w:sz w:val="24"/>
                <w:szCs w:val="24"/>
                <w:lang w:val="en-US" w:eastAsia="zh-CN"/>
              </w:rPr>
              <w:t>****</w:t>
            </w:r>
          </w:p>
        </w:tc>
      </w:tr>
      <w:tr w14:paraId="7D0A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27" w:type="dxa"/>
            <w:shd w:val="clear" w:color="auto" w:fill="auto"/>
            <w:tcMar>
              <w:top w:w="16" w:type="dxa"/>
              <w:left w:w="16" w:type="dxa"/>
              <w:right w:w="16" w:type="dxa"/>
            </w:tcMar>
            <w:vAlign w:val="center"/>
          </w:tcPr>
          <w:p w14:paraId="5433FFAD">
            <w:pPr>
              <w:adjustRightInd w:val="0"/>
              <w:snapToGrid w:val="0"/>
              <w:spacing w:line="240" w:lineRule="auto"/>
              <w:jc w:val="center"/>
              <w:rPr>
                <w:rFonts w:eastAsiaTheme="minorEastAsia"/>
                <w:color w:val="auto"/>
                <w:sz w:val="24"/>
                <w:szCs w:val="24"/>
              </w:rPr>
            </w:pPr>
            <w:r>
              <w:rPr>
                <w:rFonts w:eastAsiaTheme="minorEastAsia"/>
                <w:color w:val="auto"/>
                <w:sz w:val="24"/>
                <w:szCs w:val="24"/>
              </w:rPr>
              <w:t>建设地点</w:t>
            </w:r>
          </w:p>
        </w:tc>
        <w:tc>
          <w:tcPr>
            <w:tcW w:w="7943" w:type="dxa"/>
            <w:gridSpan w:val="3"/>
            <w:shd w:val="clear" w:color="auto" w:fill="auto"/>
            <w:vAlign w:val="center"/>
          </w:tcPr>
          <w:p w14:paraId="69E47932">
            <w:pPr>
              <w:adjustRightInd w:val="0"/>
              <w:snapToGrid w:val="0"/>
              <w:spacing w:line="240" w:lineRule="auto"/>
              <w:jc w:val="center"/>
              <w:rPr>
                <w:color w:val="auto"/>
                <w:sz w:val="24"/>
                <w:szCs w:val="24"/>
              </w:rPr>
            </w:pPr>
            <w:r>
              <w:rPr>
                <w:rFonts w:hint="eastAsia"/>
                <w:color w:val="auto"/>
                <w:sz w:val="24"/>
                <w:szCs w:val="24"/>
              </w:rPr>
              <w:t>江苏省无锡市</w:t>
            </w:r>
            <w:r>
              <w:rPr>
                <w:color w:val="auto"/>
                <w:sz w:val="24"/>
                <w:szCs w:val="24"/>
              </w:rPr>
              <w:t>江阴市周庄镇澄杨路1507号</w:t>
            </w:r>
          </w:p>
        </w:tc>
      </w:tr>
      <w:tr w14:paraId="64628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27" w:type="dxa"/>
            <w:shd w:val="clear" w:color="auto" w:fill="auto"/>
            <w:tcMar>
              <w:top w:w="16" w:type="dxa"/>
              <w:left w:w="16" w:type="dxa"/>
              <w:right w:w="16" w:type="dxa"/>
            </w:tcMar>
            <w:vAlign w:val="center"/>
          </w:tcPr>
          <w:p w14:paraId="1172176F">
            <w:pPr>
              <w:adjustRightInd w:val="0"/>
              <w:snapToGrid w:val="0"/>
              <w:spacing w:line="240" w:lineRule="auto"/>
              <w:jc w:val="center"/>
              <w:rPr>
                <w:rFonts w:eastAsiaTheme="minorEastAsia"/>
                <w:color w:val="auto"/>
                <w:sz w:val="24"/>
                <w:szCs w:val="24"/>
              </w:rPr>
            </w:pPr>
            <w:r>
              <w:rPr>
                <w:rFonts w:eastAsiaTheme="minorEastAsia"/>
                <w:color w:val="auto"/>
                <w:sz w:val="24"/>
                <w:szCs w:val="24"/>
              </w:rPr>
              <w:t>地理坐标</w:t>
            </w:r>
          </w:p>
        </w:tc>
        <w:tc>
          <w:tcPr>
            <w:tcW w:w="7943" w:type="dxa"/>
            <w:gridSpan w:val="3"/>
            <w:shd w:val="clear" w:color="auto" w:fill="auto"/>
            <w:vAlign w:val="center"/>
          </w:tcPr>
          <w:p w14:paraId="60F9A602">
            <w:pPr>
              <w:adjustRightInd w:val="0"/>
              <w:snapToGrid w:val="0"/>
              <w:spacing w:line="240" w:lineRule="auto"/>
              <w:jc w:val="center"/>
              <w:rPr>
                <w:color w:val="auto"/>
                <w:sz w:val="24"/>
                <w:szCs w:val="24"/>
              </w:rPr>
            </w:pPr>
            <w:r>
              <w:rPr>
                <w:color w:val="auto"/>
                <w:sz w:val="24"/>
                <w:szCs w:val="24"/>
              </w:rPr>
              <w:t>（120度1</w:t>
            </w:r>
            <w:r>
              <w:rPr>
                <w:rFonts w:hint="eastAsia"/>
                <w:color w:val="auto"/>
                <w:sz w:val="24"/>
                <w:szCs w:val="24"/>
              </w:rPr>
              <w:t>5</w:t>
            </w:r>
            <w:r>
              <w:rPr>
                <w:color w:val="auto"/>
                <w:sz w:val="24"/>
                <w:szCs w:val="24"/>
              </w:rPr>
              <w:t>分</w:t>
            </w:r>
            <w:r>
              <w:rPr>
                <w:rFonts w:hint="eastAsia"/>
                <w:color w:val="auto"/>
                <w:sz w:val="24"/>
                <w:szCs w:val="24"/>
              </w:rPr>
              <w:t>01.138</w:t>
            </w:r>
            <w:r>
              <w:rPr>
                <w:color w:val="auto"/>
                <w:sz w:val="24"/>
                <w:szCs w:val="24"/>
              </w:rPr>
              <w:t>秒，31度5</w:t>
            </w:r>
            <w:r>
              <w:rPr>
                <w:rFonts w:hint="eastAsia"/>
                <w:color w:val="auto"/>
                <w:sz w:val="24"/>
                <w:szCs w:val="24"/>
              </w:rPr>
              <w:t>1</w:t>
            </w:r>
            <w:r>
              <w:rPr>
                <w:color w:val="auto"/>
                <w:sz w:val="24"/>
                <w:szCs w:val="24"/>
              </w:rPr>
              <w:t>分</w:t>
            </w:r>
            <w:r>
              <w:rPr>
                <w:rFonts w:hint="eastAsia"/>
                <w:color w:val="auto"/>
                <w:sz w:val="24"/>
                <w:szCs w:val="24"/>
              </w:rPr>
              <w:t>01.416</w:t>
            </w:r>
            <w:r>
              <w:rPr>
                <w:color w:val="auto"/>
                <w:sz w:val="24"/>
                <w:szCs w:val="24"/>
              </w:rPr>
              <w:t>秒）</w:t>
            </w:r>
          </w:p>
        </w:tc>
      </w:tr>
      <w:tr w14:paraId="5EA9A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927" w:type="dxa"/>
            <w:shd w:val="clear" w:color="auto" w:fill="auto"/>
            <w:tcMar>
              <w:top w:w="16" w:type="dxa"/>
              <w:left w:w="16" w:type="dxa"/>
              <w:right w:w="16" w:type="dxa"/>
            </w:tcMar>
            <w:vAlign w:val="center"/>
          </w:tcPr>
          <w:p w14:paraId="33BF2694">
            <w:pPr>
              <w:adjustRightInd w:val="0"/>
              <w:snapToGrid w:val="0"/>
              <w:spacing w:line="240" w:lineRule="auto"/>
              <w:jc w:val="center"/>
              <w:rPr>
                <w:rFonts w:eastAsiaTheme="minorEastAsia"/>
                <w:color w:val="auto"/>
                <w:sz w:val="24"/>
                <w:szCs w:val="24"/>
              </w:rPr>
            </w:pPr>
            <w:r>
              <w:rPr>
                <w:rFonts w:eastAsiaTheme="minorEastAsia"/>
                <w:color w:val="auto"/>
                <w:sz w:val="24"/>
                <w:szCs w:val="24"/>
              </w:rPr>
              <w:t>国民经济行业类别</w:t>
            </w:r>
          </w:p>
        </w:tc>
        <w:tc>
          <w:tcPr>
            <w:tcW w:w="2665" w:type="dxa"/>
            <w:shd w:val="clear" w:color="auto" w:fill="auto"/>
            <w:vAlign w:val="center"/>
          </w:tcPr>
          <w:p w14:paraId="4737BA68">
            <w:pPr>
              <w:adjustRightInd w:val="0"/>
              <w:snapToGrid w:val="0"/>
              <w:spacing w:line="240" w:lineRule="auto"/>
              <w:jc w:val="center"/>
              <w:rPr>
                <w:rFonts w:eastAsiaTheme="minorEastAsia"/>
                <w:color w:val="auto"/>
                <w:sz w:val="24"/>
                <w:szCs w:val="24"/>
              </w:rPr>
            </w:pPr>
            <w:r>
              <w:rPr>
                <w:rFonts w:hint="eastAsia" w:eastAsiaTheme="minorEastAsia"/>
                <w:color w:val="auto"/>
                <w:sz w:val="24"/>
                <w:szCs w:val="24"/>
              </w:rPr>
              <w:t>化纤织物染整精加工（</w:t>
            </w:r>
            <w:r>
              <w:rPr>
                <w:rFonts w:hint="eastAsia" w:eastAsiaTheme="minorEastAsia"/>
                <w:color w:val="auto"/>
                <w:sz w:val="24"/>
                <w:szCs w:val="24"/>
                <w:lang w:val="en-US" w:eastAsia="zh-CN"/>
              </w:rPr>
              <w:t>C</w:t>
            </w:r>
            <w:r>
              <w:rPr>
                <w:rFonts w:hint="eastAsia" w:eastAsiaTheme="minorEastAsia"/>
                <w:color w:val="auto"/>
                <w:sz w:val="24"/>
                <w:szCs w:val="24"/>
              </w:rPr>
              <w:t>1752）</w:t>
            </w:r>
          </w:p>
        </w:tc>
        <w:tc>
          <w:tcPr>
            <w:tcW w:w="1950" w:type="dxa"/>
            <w:shd w:val="clear" w:color="auto" w:fill="auto"/>
            <w:vAlign w:val="center"/>
          </w:tcPr>
          <w:p w14:paraId="3FF6FBED">
            <w:pPr>
              <w:adjustRightInd w:val="0"/>
              <w:snapToGrid w:val="0"/>
              <w:spacing w:line="240" w:lineRule="auto"/>
              <w:jc w:val="center"/>
              <w:rPr>
                <w:rFonts w:eastAsiaTheme="minorEastAsia"/>
                <w:color w:val="auto"/>
                <w:sz w:val="24"/>
                <w:szCs w:val="24"/>
              </w:rPr>
            </w:pPr>
            <w:bookmarkStart w:id="1" w:name="_Hlk49843745"/>
            <w:r>
              <w:rPr>
                <w:rFonts w:eastAsiaTheme="minorEastAsia"/>
                <w:color w:val="auto"/>
                <w:sz w:val="24"/>
                <w:szCs w:val="24"/>
              </w:rPr>
              <w:t>建设项目</w:t>
            </w:r>
          </w:p>
          <w:p w14:paraId="012B8C44">
            <w:pPr>
              <w:adjustRightInd w:val="0"/>
              <w:snapToGrid w:val="0"/>
              <w:spacing w:line="240" w:lineRule="auto"/>
              <w:jc w:val="center"/>
              <w:rPr>
                <w:rFonts w:eastAsiaTheme="minorEastAsia"/>
                <w:color w:val="auto"/>
                <w:sz w:val="24"/>
                <w:szCs w:val="24"/>
              </w:rPr>
            </w:pPr>
            <w:r>
              <w:rPr>
                <w:rFonts w:eastAsiaTheme="minorEastAsia"/>
                <w:color w:val="auto"/>
                <w:sz w:val="24"/>
                <w:szCs w:val="24"/>
              </w:rPr>
              <w:t>行业类别</w:t>
            </w:r>
            <w:bookmarkEnd w:id="1"/>
          </w:p>
        </w:tc>
        <w:tc>
          <w:tcPr>
            <w:tcW w:w="3328" w:type="dxa"/>
            <w:shd w:val="clear" w:color="auto" w:fill="auto"/>
            <w:vAlign w:val="center"/>
          </w:tcPr>
          <w:p w14:paraId="7EB0C605">
            <w:pPr>
              <w:adjustRightInd w:val="0"/>
              <w:snapToGrid w:val="0"/>
              <w:spacing w:line="240" w:lineRule="auto"/>
              <w:jc w:val="center"/>
              <w:rPr>
                <w:rFonts w:eastAsiaTheme="minorEastAsia"/>
                <w:color w:val="auto"/>
                <w:sz w:val="24"/>
                <w:szCs w:val="24"/>
              </w:rPr>
            </w:pPr>
            <w:r>
              <w:rPr>
                <w:rFonts w:hint="eastAsia" w:eastAsiaTheme="minorEastAsia"/>
                <w:color w:val="auto"/>
                <w:sz w:val="24"/>
                <w:szCs w:val="24"/>
              </w:rPr>
              <w:t>十四、纺织业17-28中化纤织造印染精加工175*</w:t>
            </w:r>
          </w:p>
        </w:tc>
      </w:tr>
      <w:tr w14:paraId="7209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927" w:type="dxa"/>
            <w:shd w:val="clear" w:color="auto" w:fill="auto"/>
            <w:tcMar>
              <w:top w:w="16" w:type="dxa"/>
              <w:left w:w="16" w:type="dxa"/>
              <w:right w:w="16" w:type="dxa"/>
            </w:tcMar>
            <w:vAlign w:val="center"/>
          </w:tcPr>
          <w:p w14:paraId="2E43B601">
            <w:pPr>
              <w:adjustRightInd w:val="0"/>
              <w:snapToGrid w:val="0"/>
              <w:spacing w:line="240" w:lineRule="auto"/>
              <w:jc w:val="center"/>
              <w:rPr>
                <w:rFonts w:eastAsiaTheme="minorEastAsia"/>
                <w:color w:val="auto"/>
                <w:sz w:val="24"/>
                <w:szCs w:val="24"/>
              </w:rPr>
            </w:pPr>
            <w:r>
              <w:rPr>
                <w:rFonts w:eastAsiaTheme="minorEastAsia"/>
                <w:color w:val="auto"/>
                <w:sz w:val="24"/>
                <w:szCs w:val="24"/>
              </w:rPr>
              <w:t>建设性质</w:t>
            </w:r>
          </w:p>
        </w:tc>
        <w:tc>
          <w:tcPr>
            <w:tcW w:w="2665" w:type="dxa"/>
            <w:shd w:val="clear" w:color="auto" w:fill="auto"/>
            <w:vAlign w:val="center"/>
          </w:tcPr>
          <w:p w14:paraId="76AA0865">
            <w:pPr>
              <w:spacing w:line="240" w:lineRule="auto"/>
              <w:jc w:val="left"/>
              <w:rPr>
                <w:rFonts w:eastAsiaTheme="minorEastAsia"/>
                <w:color w:val="auto"/>
                <w:sz w:val="24"/>
                <w:szCs w:val="24"/>
              </w:rPr>
            </w:pPr>
            <w:r>
              <w:rPr>
                <w:rFonts w:eastAsiaTheme="minorEastAsia"/>
                <w:color w:val="auto"/>
                <w:sz w:val="24"/>
                <w:szCs w:val="24"/>
              </w:rPr>
              <w:sym w:font="Wingdings 2" w:char="0052"/>
            </w:r>
            <w:r>
              <w:rPr>
                <w:rFonts w:eastAsiaTheme="minorEastAsia"/>
                <w:color w:val="auto"/>
                <w:sz w:val="24"/>
                <w:szCs w:val="24"/>
              </w:rPr>
              <w:t>新建（迁建）</w:t>
            </w:r>
          </w:p>
          <w:p w14:paraId="74110832">
            <w:pPr>
              <w:spacing w:line="240" w:lineRule="auto"/>
              <w:jc w:val="left"/>
              <w:rPr>
                <w:rFonts w:eastAsiaTheme="minorEastAsia"/>
                <w:color w:val="auto"/>
                <w:sz w:val="24"/>
                <w:szCs w:val="24"/>
              </w:rPr>
            </w:pPr>
            <w:r>
              <w:rPr>
                <w:rFonts w:eastAsiaTheme="minorEastAsia"/>
                <w:color w:val="auto"/>
                <w:sz w:val="24"/>
                <w:szCs w:val="24"/>
              </w:rPr>
              <w:sym w:font="Wingdings 2" w:char="00A3"/>
            </w:r>
            <w:r>
              <w:rPr>
                <w:rFonts w:eastAsiaTheme="minorEastAsia"/>
                <w:color w:val="auto"/>
                <w:sz w:val="24"/>
                <w:szCs w:val="24"/>
              </w:rPr>
              <w:t>技改</w:t>
            </w:r>
          </w:p>
          <w:p w14:paraId="4C744998">
            <w:pPr>
              <w:spacing w:line="240" w:lineRule="auto"/>
              <w:jc w:val="left"/>
              <w:rPr>
                <w:rFonts w:eastAsiaTheme="minorEastAsia"/>
                <w:color w:val="auto"/>
                <w:sz w:val="24"/>
                <w:szCs w:val="24"/>
              </w:rPr>
            </w:pPr>
            <w:r>
              <w:rPr>
                <w:rFonts w:eastAsiaTheme="minorEastAsia"/>
                <w:color w:val="auto"/>
                <w:sz w:val="24"/>
                <w:szCs w:val="24"/>
              </w:rPr>
              <w:sym w:font="Wingdings 2" w:char="00A3"/>
            </w:r>
            <w:r>
              <w:rPr>
                <w:rFonts w:eastAsiaTheme="minorEastAsia"/>
                <w:color w:val="auto"/>
                <w:sz w:val="24"/>
                <w:szCs w:val="24"/>
              </w:rPr>
              <w:t>扩建</w:t>
            </w:r>
          </w:p>
          <w:p w14:paraId="2438278F">
            <w:pPr>
              <w:spacing w:line="240" w:lineRule="auto"/>
              <w:jc w:val="left"/>
              <w:rPr>
                <w:rFonts w:eastAsiaTheme="minorEastAsia"/>
                <w:color w:val="auto"/>
                <w:sz w:val="24"/>
                <w:szCs w:val="24"/>
              </w:rPr>
            </w:pPr>
            <w:r>
              <w:rPr>
                <w:rFonts w:eastAsiaTheme="minorEastAsia"/>
                <w:color w:val="auto"/>
                <w:sz w:val="24"/>
                <w:szCs w:val="24"/>
              </w:rPr>
              <w:sym w:font="Wingdings 2" w:char="00A3"/>
            </w:r>
            <w:r>
              <w:rPr>
                <w:rFonts w:eastAsiaTheme="minorEastAsia"/>
                <w:color w:val="auto"/>
                <w:sz w:val="24"/>
                <w:szCs w:val="24"/>
              </w:rPr>
              <w:t>技术改造</w:t>
            </w:r>
          </w:p>
        </w:tc>
        <w:tc>
          <w:tcPr>
            <w:tcW w:w="1950" w:type="dxa"/>
            <w:shd w:val="clear" w:color="auto" w:fill="auto"/>
            <w:vAlign w:val="center"/>
          </w:tcPr>
          <w:p w14:paraId="19525C8A">
            <w:pPr>
              <w:adjustRightInd w:val="0"/>
              <w:snapToGrid w:val="0"/>
              <w:spacing w:line="240" w:lineRule="auto"/>
              <w:jc w:val="center"/>
              <w:rPr>
                <w:rFonts w:eastAsiaTheme="minorEastAsia"/>
                <w:color w:val="auto"/>
                <w:sz w:val="24"/>
                <w:szCs w:val="24"/>
              </w:rPr>
            </w:pPr>
            <w:r>
              <w:rPr>
                <w:rFonts w:eastAsiaTheme="minorEastAsia"/>
                <w:color w:val="auto"/>
                <w:sz w:val="24"/>
                <w:szCs w:val="24"/>
              </w:rPr>
              <w:t>建设项目</w:t>
            </w:r>
          </w:p>
          <w:p w14:paraId="07B4C778">
            <w:pPr>
              <w:adjustRightInd w:val="0"/>
              <w:snapToGrid w:val="0"/>
              <w:spacing w:line="240" w:lineRule="auto"/>
              <w:jc w:val="center"/>
              <w:rPr>
                <w:rFonts w:eastAsiaTheme="minorEastAsia"/>
                <w:color w:val="auto"/>
                <w:sz w:val="24"/>
                <w:szCs w:val="24"/>
              </w:rPr>
            </w:pPr>
            <w:r>
              <w:rPr>
                <w:rFonts w:eastAsiaTheme="minorEastAsia"/>
                <w:color w:val="auto"/>
                <w:sz w:val="24"/>
                <w:szCs w:val="24"/>
              </w:rPr>
              <w:t>申报情形</w:t>
            </w:r>
          </w:p>
        </w:tc>
        <w:tc>
          <w:tcPr>
            <w:tcW w:w="3328" w:type="dxa"/>
            <w:shd w:val="clear" w:color="auto" w:fill="auto"/>
            <w:vAlign w:val="center"/>
          </w:tcPr>
          <w:p w14:paraId="3D54F5F3">
            <w:pPr>
              <w:spacing w:line="240" w:lineRule="auto"/>
              <w:rPr>
                <w:rFonts w:eastAsiaTheme="minorEastAsia"/>
                <w:color w:val="auto"/>
                <w:sz w:val="24"/>
                <w:szCs w:val="24"/>
              </w:rPr>
            </w:pPr>
            <w:r>
              <w:rPr>
                <w:rFonts w:eastAsiaTheme="minorEastAsia"/>
                <w:color w:val="auto"/>
                <w:sz w:val="24"/>
                <w:szCs w:val="24"/>
              </w:rPr>
              <w:sym w:font="Wingdings 2" w:char="0052"/>
            </w:r>
            <w:r>
              <w:rPr>
                <w:rFonts w:eastAsiaTheme="minorEastAsia"/>
                <w:color w:val="auto"/>
                <w:sz w:val="24"/>
                <w:szCs w:val="24"/>
              </w:rPr>
              <w:t>首次申报项目</w:t>
            </w:r>
          </w:p>
          <w:p w14:paraId="7F6C3D52">
            <w:pPr>
              <w:spacing w:line="240" w:lineRule="auto"/>
              <w:rPr>
                <w:rFonts w:eastAsiaTheme="minorEastAsia"/>
                <w:color w:val="auto"/>
                <w:sz w:val="24"/>
                <w:szCs w:val="24"/>
              </w:rPr>
            </w:pPr>
            <w:r>
              <w:rPr>
                <w:rFonts w:eastAsiaTheme="minorEastAsia"/>
                <w:color w:val="auto"/>
                <w:sz w:val="24"/>
                <w:szCs w:val="24"/>
              </w:rPr>
              <w:sym w:font="Wingdings 2" w:char="00A3"/>
            </w:r>
            <w:r>
              <w:rPr>
                <w:rFonts w:eastAsiaTheme="minorEastAsia"/>
                <w:color w:val="auto"/>
                <w:sz w:val="24"/>
                <w:szCs w:val="24"/>
              </w:rPr>
              <w:t>不予批准后再次申报项目</w:t>
            </w:r>
          </w:p>
          <w:p w14:paraId="76796F04">
            <w:pPr>
              <w:spacing w:line="240" w:lineRule="auto"/>
              <w:rPr>
                <w:rFonts w:eastAsiaTheme="minorEastAsia"/>
                <w:color w:val="auto"/>
                <w:sz w:val="24"/>
                <w:szCs w:val="24"/>
              </w:rPr>
            </w:pPr>
            <w:r>
              <w:rPr>
                <w:rFonts w:eastAsiaTheme="minorEastAsia"/>
                <w:color w:val="auto"/>
                <w:sz w:val="24"/>
                <w:szCs w:val="24"/>
              </w:rPr>
              <w:sym w:font="Wingdings 2" w:char="00A3"/>
            </w:r>
            <w:r>
              <w:rPr>
                <w:rFonts w:eastAsiaTheme="minorEastAsia"/>
                <w:color w:val="auto"/>
                <w:sz w:val="24"/>
                <w:szCs w:val="24"/>
              </w:rPr>
              <w:t>超五年重新审核项目</w:t>
            </w:r>
          </w:p>
          <w:p w14:paraId="2BA4F2F3">
            <w:pPr>
              <w:spacing w:line="240" w:lineRule="auto"/>
              <w:rPr>
                <w:rFonts w:eastAsiaTheme="minorEastAsia"/>
                <w:color w:val="auto"/>
                <w:sz w:val="24"/>
                <w:szCs w:val="24"/>
              </w:rPr>
            </w:pPr>
            <w:r>
              <w:rPr>
                <w:rFonts w:eastAsiaTheme="minorEastAsia"/>
                <w:color w:val="auto"/>
                <w:sz w:val="24"/>
                <w:szCs w:val="24"/>
              </w:rPr>
              <w:sym w:font="Wingdings 2" w:char="00A3"/>
            </w:r>
            <w:r>
              <w:rPr>
                <w:rFonts w:eastAsiaTheme="minorEastAsia"/>
                <w:color w:val="auto"/>
                <w:sz w:val="24"/>
                <w:szCs w:val="24"/>
              </w:rPr>
              <w:t>重大变动重新报批项目</w:t>
            </w:r>
          </w:p>
        </w:tc>
      </w:tr>
      <w:tr w14:paraId="158A4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927" w:type="dxa"/>
            <w:shd w:val="clear" w:color="auto" w:fill="auto"/>
            <w:tcMar>
              <w:top w:w="16" w:type="dxa"/>
              <w:left w:w="16" w:type="dxa"/>
              <w:right w:w="16" w:type="dxa"/>
            </w:tcMar>
            <w:vAlign w:val="center"/>
          </w:tcPr>
          <w:p w14:paraId="65800377">
            <w:pPr>
              <w:adjustRightInd w:val="0"/>
              <w:snapToGrid w:val="0"/>
              <w:spacing w:line="240" w:lineRule="auto"/>
              <w:jc w:val="center"/>
              <w:rPr>
                <w:rFonts w:eastAsiaTheme="minorEastAsia"/>
                <w:color w:val="auto"/>
                <w:sz w:val="24"/>
                <w:szCs w:val="24"/>
              </w:rPr>
            </w:pPr>
            <w:r>
              <w:rPr>
                <w:rFonts w:eastAsiaTheme="minorEastAsia"/>
                <w:color w:val="auto"/>
                <w:sz w:val="24"/>
                <w:szCs w:val="24"/>
              </w:rPr>
              <w:t>项目审批（核准/备案）部门（选填）</w:t>
            </w:r>
          </w:p>
        </w:tc>
        <w:tc>
          <w:tcPr>
            <w:tcW w:w="2665" w:type="dxa"/>
            <w:shd w:val="clear" w:color="auto" w:fill="auto"/>
            <w:vAlign w:val="center"/>
          </w:tcPr>
          <w:p w14:paraId="7B11D5F3">
            <w:pPr>
              <w:adjustRightInd w:val="0"/>
              <w:snapToGrid w:val="0"/>
              <w:spacing w:line="240" w:lineRule="auto"/>
              <w:jc w:val="center"/>
              <w:rPr>
                <w:color w:val="auto"/>
                <w:sz w:val="24"/>
                <w:szCs w:val="24"/>
              </w:rPr>
            </w:pPr>
            <w:r>
              <w:rPr>
                <w:color w:val="auto"/>
                <w:sz w:val="24"/>
                <w:szCs w:val="24"/>
              </w:rPr>
              <w:t>江阴市周庄镇人民政府</w:t>
            </w:r>
          </w:p>
        </w:tc>
        <w:tc>
          <w:tcPr>
            <w:tcW w:w="1950" w:type="dxa"/>
            <w:shd w:val="clear" w:color="auto" w:fill="auto"/>
            <w:vAlign w:val="center"/>
          </w:tcPr>
          <w:p w14:paraId="7649D6CA">
            <w:pPr>
              <w:adjustRightInd w:val="0"/>
              <w:snapToGrid w:val="0"/>
              <w:spacing w:line="240" w:lineRule="auto"/>
              <w:jc w:val="center"/>
              <w:rPr>
                <w:color w:val="auto"/>
                <w:sz w:val="24"/>
                <w:szCs w:val="24"/>
              </w:rPr>
            </w:pPr>
            <w:r>
              <w:rPr>
                <w:color w:val="auto"/>
                <w:sz w:val="24"/>
                <w:szCs w:val="24"/>
              </w:rPr>
              <w:t>项目审批（核准/</w:t>
            </w:r>
          </w:p>
          <w:p w14:paraId="09C20BFB">
            <w:pPr>
              <w:adjustRightInd w:val="0"/>
              <w:snapToGrid w:val="0"/>
              <w:spacing w:line="240" w:lineRule="auto"/>
              <w:jc w:val="center"/>
              <w:rPr>
                <w:color w:val="auto"/>
                <w:sz w:val="24"/>
                <w:szCs w:val="24"/>
              </w:rPr>
            </w:pPr>
            <w:r>
              <w:rPr>
                <w:color w:val="auto"/>
                <w:sz w:val="24"/>
                <w:szCs w:val="24"/>
              </w:rPr>
              <w:t>备案）文号（选填）</w:t>
            </w:r>
          </w:p>
        </w:tc>
        <w:tc>
          <w:tcPr>
            <w:tcW w:w="3328" w:type="dxa"/>
            <w:shd w:val="clear" w:color="auto" w:fill="auto"/>
            <w:vAlign w:val="center"/>
          </w:tcPr>
          <w:p w14:paraId="745254C0">
            <w:pPr>
              <w:adjustRightInd w:val="0"/>
              <w:snapToGrid w:val="0"/>
              <w:spacing w:line="240" w:lineRule="auto"/>
              <w:jc w:val="center"/>
              <w:rPr>
                <w:color w:val="auto"/>
                <w:sz w:val="24"/>
                <w:szCs w:val="24"/>
              </w:rPr>
            </w:pPr>
            <w:r>
              <w:rPr>
                <w:color w:val="auto"/>
                <w:sz w:val="24"/>
                <w:szCs w:val="24"/>
                <w:lang w:val="en-US" w:eastAsia="zh-CN"/>
              </w:rPr>
              <w:t>江阴周庄备〔2025〕522号</w:t>
            </w:r>
          </w:p>
        </w:tc>
      </w:tr>
      <w:tr w14:paraId="12B4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27" w:type="dxa"/>
            <w:shd w:val="clear" w:color="auto" w:fill="auto"/>
            <w:tcMar>
              <w:top w:w="16" w:type="dxa"/>
              <w:left w:w="16" w:type="dxa"/>
              <w:right w:w="16" w:type="dxa"/>
            </w:tcMar>
            <w:vAlign w:val="center"/>
          </w:tcPr>
          <w:p w14:paraId="760FFE47">
            <w:pPr>
              <w:adjustRightInd w:val="0"/>
              <w:snapToGrid w:val="0"/>
              <w:spacing w:line="240" w:lineRule="auto"/>
              <w:jc w:val="center"/>
              <w:rPr>
                <w:rFonts w:eastAsiaTheme="minorEastAsia"/>
                <w:color w:val="auto"/>
                <w:sz w:val="24"/>
                <w:szCs w:val="24"/>
              </w:rPr>
            </w:pPr>
            <w:r>
              <w:rPr>
                <w:rFonts w:eastAsiaTheme="minorEastAsia"/>
                <w:color w:val="auto"/>
                <w:sz w:val="24"/>
                <w:szCs w:val="24"/>
              </w:rPr>
              <w:t>总投资（万元）</w:t>
            </w:r>
          </w:p>
        </w:tc>
        <w:tc>
          <w:tcPr>
            <w:tcW w:w="2665" w:type="dxa"/>
            <w:shd w:val="clear" w:color="auto" w:fill="auto"/>
            <w:vAlign w:val="center"/>
          </w:tcPr>
          <w:p w14:paraId="5E9ADF6E">
            <w:pPr>
              <w:adjustRightInd w:val="0"/>
              <w:snapToGrid w:val="0"/>
              <w:jc w:val="center"/>
              <w:rPr>
                <w:color w:val="auto"/>
                <w:sz w:val="24"/>
                <w:szCs w:val="24"/>
              </w:rPr>
            </w:pPr>
            <w:r>
              <w:rPr>
                <w:rFonts w:hint="eastAsia"/>
                <w:color w:val="auto"/>
                <w:sz w:val="24"/>
                <w:szCs w:val="24"/>
              </w:rPr>
              <w:t>800</w:t>
            </w:r>
          </w:p>
        </w:tc>
        <w:tc>
          <w:tcPr>
            <w:tcW w:w="1950" w:type="dxa"/>
            <w:shd w:val="clear" w:color="auto" w:fill="auto"/>
            <w:tcMar>
              <w:top w:w="16" w:type="dxa"/>
              <w:left w:w="16" w:type="dxa"/>
              <w:right w:w="16" w:type="dxa"/>
            </w:tcMar>
            <w:vAlign w:val="center"/>
          </w:tcPr>
          <w:p w14:paraId="767A5FB1">
            <w:pPr>
              <w:adjustRightInd w:val="0"/>
              <w:snapToGrid w:val="0"/>
              <w:jc w:val="center"/>
              <w:rPr>
                <w:color w:val="auto"/>
                <w:sz w:val="24"/>
                <w:szCs w:val="24"/>
              </w:rPr>
            </w:pPr>
            <w:r>
              <w:rPr>
                <w:color w:val="auto"/>
                <w:sz w:val="24"/>
                <w:szCs w:val="24"/>
              </w:rPr>
              <w:t>环保投资（万元）</w:t>
            </w:r>
          </w:p>
        </w:tc>
        <w:tc>
          <w:tcPr>
            <w:tcW w:w="3328" w:type="dxa"/>
            <w:shd w:val="clear" w:color="auto" w:fill="auto"/>
            <w:vAlign w:val="center"/>
          </w:tcPr>
          <w:p w14:paraId="4FB5F63F">
            <w:pPr>
              <w:adjustRightInd w:val="0"/>
              <w:snapToGrid w:val="0"/>
              <w:jc w:val="center"/>
              <w:rPr>
                <w:color w:val="auto"/>
                <w:sz w:val="24"/>
                <w:szCs w:val="24"/>
              </w:rPr>
            </w:pPr>
            <w:r>
              <w:rPr>
                <w:rFonts w:hint="eastAsia"/>
                <w:color w:val="auto"/>
                <w:sz w:val="24"/>
                <w:szCs w:val="24"/>
              </w:rPr>
              <w:t>50</w:t>
            </w:r>
          </w:p>
        </w:tc>
      </w:tr>
      <w:tr w14:paraId="194F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27" w:type="dxa"/>
            <w:shd w:val="clear" w:color="auto" w:fill="auto"/>
            <w:tcMar>
              <w:top w:w="16" w:type="dxa"/>
              <w:left w:w="16" w:type="dxa"/>
              <w:right w:w="16" w:type="dxa"/>
            </w:tcMar>
            <w:vAlign w:val="center"/>
          </w:tcPr>
          <w:p w14:paraId="385AB200">
            <w:pPr>
              <w:adjustRightInd w:val="0"/>
              <w:snapToGrid w:val="0"/>
              <w:spacing w:line="240" w:lineRule="auto"/>
              <w:jc w:val="center"/>
              <w:rPr>
                <w:rFonts w:eastAsiaTheme="minorEastAsia"/>
                <w:color w:val="auto"/>
                <w:sz w:val="24"/>
                <w:szCs w:val="24"/>
              </w:rPr>
            </w:pPr>
            <w:r>
              <w:rPr>
                <w:rFonts w:eastAsiaTheme="minorEastAsia"/>
                <w:color w:val="auto"/>
                <w:sz w:val="24"/>
                <w:szCs w:val="24"/>
              </w:rPr>
              <w:t>环保投资占比（%）</w:t>
            </w:r>
          </w:p>
        </w:tc>
        <w:tc>
          <w:tcPr>
            <w:tcW w:w="2665" w:type="dxa"/>
            <w:shd w:val="clear" w:color="auto" w:fill="auto"/>
            <w:vAlign w:val="center"/>
          </w:tcPr>
          <w:p w14:paraId="0A6B82CB">
            <w:pPr>
              <w:adjustRightInd w:val="0"/>
              <w:snapToGrid w:val="0"/>
              <w:jc w:val="center"/>
              <w:rPr>
                <w:color w:val="auto"/>
                <w:sz w:val="24"/>
                <w:szCs w:val="24"/>
              </w:rPr>
            </w:pPr>
            <w:r>
              <w:rPr>
                <w:rFonts w:hint="eastAsia"/>
                <w:color w:val="auto"/>
                <w:sz w:val="24"/>
                <w:szCs w:val="24"/>
              </w:rPr>
              <w:t>6.25</w:t>
            </w:r>
            <w:r>
              <w:rPr>
                <w:color w:val="auto"/>
                <w:sz w:val="24"/>
                <w:szCs w:val="24"/>
              </w:rPr>
              <w:t>%</w:t>
            </w:r>
          </w:p>
        </w:tc>
        <w:tc>
          <w:tcPr>
            <w:tcW w:w="1950" w:type="dxa"/>
            <w:shd w:val="clear" w:color="auto" w:fill="auto"/>
            <w:tcMar>
              <w:top w:w="16" w:type="dxa"/>
              <w:left w:w="16" w:type="dxa"/>
              <w:right w:w="16" w:type="dxa"/>
            </w:tcMar>
            <w:vAlign w:val="center"/>
          </w:tcPr>
          <w:p w14:paraId="59856296">
            <w:pPr>
              <w:adjustRightInd w:val="0"/>
              <w:snapToGrid w:val="0"/>
              <w:jc w:val="center"/>
              <w:rPr>
                <w:color w:val="auto"/>
                <w:sz w:val="24"/>
                <w:szCs w:val="24"/>
              </w:rPr>
            </w:pPr>
            <w:r>
              <w:rPr>
                <w:color w:val="auto"/>
                <w:sz w:val="24"/>
                <w:szCs w:val="24"/>
              </w:rPr>
              <w:t>施工工期</w:t>
            </w:r>
          </w:p>
        </w:tc>
        <w:tc>
          <w:tcPr>
            <w:tcW w:w="3328" w:type="dxa"/>
            <w:shd w:val="clear" w:color="auto" w:fill="auto"/>
            <w:vAlign w:val="center"/>
          </w:tcPr>
          <w:p w14:paraId="6D240136">
            <w:pPr>
              <w:adjustRightInd w:val="0"/>
              <w:snapToGrid w:val="0"/>
              <w:jc w:val="center"/>
              <w:rPr>
                <w:color w:val="auto"/>
                <w:sz w:val="24"/>
                <w:szCs w:val="24"/>
              </w:rPr>
            </w:pPr>
            <w:r>
              <w:rPr>
                <w:color w:val="auto"/>
                <w:sz w:val="24"/>
                <w:szCs w:val="24"/>
              </w:rPr>
              <w:t>6个月</w:t>
            </w:r>
          </w:p>
        </w:tc>
      </w:tr>
      <w:tr w14:paraId="7AE4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927" w:type="dxa"/>
            <w:shd w:val="clear" w:color="auto" w:fill="auto"/>
            <w:tcMar>
              <w:top w:w="16" w:type="dxa"/>
              <w:left w:w="16" w:type="dxa"/>
              <w:right w:w="16" w:type="dxa"/>
            </w:tcMar>
            <w:vAlign w:val="center"/>
          </w:tcPr>
          <w:p w14:paraId="15BAAB36">
            <w:pPr>
              <w:adjustRightInd w:val="0"/>
              <w:snapToGrid w:val="0"/>
              <w:spacing w:line="240" w:lineRule="auto"/>
              <w:jc w:val="center"/>
              <w:rPr>
                <w:rFonts w:eastAsiaTheme="minorEastAsia"/>
                <w:color w:val="auto"/>
                <w:sz w:val="24"/>
                <w:szCs w:val="24"/>
              </w:rPr>
            </w:pPr>
            <w:r>
              <w:rPr>
                <w:rFonts w:eastAsiaTheme="minorEastAsia"/>
                <w:color w:val="auto"/>
                <w:sz w:val="24"/>
                <w:szCs w:val="24"/>
              </w:rPr>
              <w:t>是否开工建设</w:t>
            </w:r>
          </w:p>
        </w:tc>
        <w:tc>
          <w:tcPr>
            <w:tcW w:w="2665" w:type="dxa"/>
            <w:shd w:val="clear" w:color="auto" w:fill="auto"/>
            <w:vAlign w:val="center"/>
          </w:tcPr>
          <w:p w14:paraId="3546FE1A">
            <w:pPr>
              <w:adjustRightInd w:val="0"/>
              <w:snapToGrid w:val="0"/>
              <w:spacing w:line="240" w:lineRule="auto"/>
              <w:rPr>
                <w:color w:val="auto"/>
                <w:sz w:val="24"/>
                <w:szCs w:val="24"/>
              </w:rPr>
            </w:pPr>
            <w:r>
              <w:rPr>
                <w:color w:val="auto"/>
                <w:sz w:val="24"/>
                <w:szCs w:val="24"/>
              </w:rPr>
              <w:sym w:font="Wingdings 2" w:char="0052"/>
            </w:r>
            <w:r>
              <w:rPr>
                <w:color w:val="auto"/>
                <w:sz w:val="24"/>
                <w:szCs w:val="24"/>
              </w:rPr>
              <w:t>否</w:t>
            </w:r>
          </w:p>
          <w:p w14:paraId="7F8EE9DB">
            <w:pPr>
              <w:adjustRightInd w:val="0"/>
              <w:snapToGrid w:val="0"/>
              <w:spacing w:line="240" w:lineRule="auto"/>
              <w:rPr>
                <w:color w:val="auto"/>
                <w:sz w:val="24"/>
                <w:szCs w:val="24"/>
              </w:rPr>
            </w:pPr>
            <w:r>
              <w:rPr>
                <w:color w:val="auto"/>
                <w:sz w:val="24"/>
                <w:szCs w:val="24"/>
              </w:rPr>
              <w:sym w:font="Wingdings 2" w:char="00A3"/>
            </w:r>
            <w:r>
              <w:rPr>
                <w:color w:val="auto"/>
                <w:sz w:val="24"/>
                <w:szCs w:val="24"/>
              </w:rPr>
              <w:t>是：</w:t>
            </w:r>
            <w:r>
              <w:rPr>
                <w:color w:val="auto"/>
                <w:sz w:val="24"/>
                <w:szCs w:val="24"/>
                <w:u w:val="single"/>
              </w:rPr>
              <w:t xml:space="preserve">      </w:t>
            </w:r>
          </w:p>
        </w:tc>
        <w:tc>
          <w:tcPr>
            <w:tcW w:w="1950" w:type="dxa"/>
            <w:shd w:val="clear" w:color="auto" w:fill="auto"/>
            <w:tcMar>
              <w:top w:w="16" w:type="dxa"/>
              <w:left w:w="16" w:type="dxa"/>
              <w:right w:w="16" w:type="dxa"/>
            </w:tcMar>
            <w:vAlign w:val="center"/>
          </w:tcPr>
          <w:p w14:paraId="28AE8287">
            <w:pPr>
              <w:adjustRightInd w:val="0"/>
              <w:snapToGrid w:val="0"/>
              <w:spacing w:line="240" w:lineRule="auto"/>
              <w:jc w:val="center"/>
              <w:rPr>
                <w:color w:val="auto"/>
                <w:spacing w:val="-6"/>
                <w:sz w:val="24"/>
                <w:szCs w:val="24"/>
              </w:rPr>
            </w:pPr>
            <w:r>
              <w:rPr>
                <w:color w:val="auto"/>
                <w:spacing w:val="-6"/>
                <w:sz w:val="24"/>
                <w:szCs w:val="24"/>
              </w:rPr>
              <w:t>用地（用海）</w:t>
            </w:r>
          </w:p>
          <w:p w14:paraId="49D23435">
            <w:pPr>
              <w:adjustRightInd w:val="0"/>
              <w:snapToGrid w:val="0"/>
              <w:spacing w:line="240" w:lineRule="auto"/>
              <w:jc w:val="center"/>
              <w:rPr>
                <w:color w:val="auto"/>
                <w:sz w:val="24"/>
                <w:szCs w:val="24"/>
              </w:rPr>
            </w:pPr>
            <w:r>
              <w:rPr>
                <w:color w:val="auto"/>
                <w:spacing w:val="-6"/>
                <w:sz w:val="24"/>
                <w:szCs w:val="24"/>
              </w:rPr>
              <w:t>面积（m</w:t>
            </w:r>
            <w:r>
              <w:rPr>
                <w:color w:val="auto"/>
                <w:spacing w:val="-6"/>
                <w:sz w:val="24"/>
                <w:szCs w:val="24"/>
                <w:vertAlign w:val="superscript"/>
              </w:rPr>
              <w:t>2</w:t>
            </w:r>
            <w:r>
              <w:rPr>
                <w:color w:val="auto"/>
                <w:spacing w:val="-6"/>
                <w:sz w:val="24"/>
                <w:szCs w:val="24"/>
              </w:rPr>
              <w:t>）</w:t>
            </w:r>
          </w:p>
        </w:tc>
        <w:tc>
          <w:tcPr>
            <w:tcW w:w="3328" w:type="dxa"/>
            <w:shd w:val="clear" w:color="auto" w:fill="auto"/>
            <w:vAlign w:val="center"/>
          </w:tcPr>
          <w:p w14:paraId="2029B3D1">
            <w:pPr>
              <w:adjustRightInd w:val="0"/>
              <w:snapToGrid w:val="0"/>
              <w:jc w:val="center"/>
              <w:rPr>
                <w:color w:val="auto"/>
                <w:sz w:val="24"/>
                <w:szCs w:val="24"/>
              </w:rPr>
            </w:pPr>
            <w:r>
              <w:rPr>
                <w:rFonts w:hint="eastAsia"/>
                <w:color w:val="auto"/>
                <w:sz w:val="24"/>
                <w:szCs w:val="24"/>
              </w:rPr>
              <w:t>600</w:t>
            </w:r>
            <w:r>
              <w:rPr>
                <w:color w:val="auto"/>
                <w:sz w:val="24"/>
                <w:szCs w:val="24"/>
              </w:rPr>
              <w:t>m</w:t>
            </w:r>
            <w:r>
              <w:rPr>
                <w:color w:val="auto"/>
                <w:sz w:val="24"/>
                <w:szCs w:val="24"/>
                <w:vertAlign w:val="superscript"/>
              </w:rPr>
              <w:t>2</w:t>
            </w:r>
          </w:p>
        </w:tc>
      </w:tr>
      <w:tr w14:paraId="18AB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27" w:type="dxa"/>
            <w:shd w:val="clear" w:color="auto" w:fill="auto"/>
            <w:vAlign w:val="center"/>
          </w:tcPr>
          <w:p w14:paraId="1B0FCDD5">
            <w:pPr>
              <w:autoSpaceDE w:val="0"/>
              <w:autoSpaceDN w:val="0"/>
              <w:adjustRightInd w:val="0"/>
              <w:snapToGrid w:val="0"/>
              <w:spacing w:line="240" w:lineRule="auto"/>
              <w:jc w:val="center"/>
              <w:rPr>
                <w:color w:val="auto"/>
                <w:kern w:val="0"/>
              </w:rPr>
            </w:pPr>
            <w:r>
              <w:rPr>
                <w:color w:val="auto"/>
                <w:kern w:val="0"/>
                <w:sz w:val="24"/>
                <w:szCs w:val="24"/>
              </w:rPr>
              <w:t>专项评价设置情况</w:t>
            </w:r>
          </w:p>
        </w:tc>
        <w:tc>
          <w:tcPr>
            <w:tcW w:w="7943" w:type="dxa"/>
            <w:gridSpan w:val="3"/>
            <w:shd w:val="clear" w:color="auto" w:fill="auto"/>
            <w:vAlign w:val="center"/>
          </w:tcPr>
          <w:p w14:paraId="485823D8">
            <w:pPr>
              <w:widowControl/>
              <w:ind w:firstLine="480" w:firstLineChars="200"/>
              <w:rPr>
                <w:rFonts w:eastAsiaTheme="minorEastAsia"/>
                <w:color w:val="auto"/>
                <w:kern w:val="0"/>
                <w:sz w:val="24"/>
                <w:szCs w:val="24"/>
              </w:rPr>
            </w:pPr>
            <w:r>
              <w:rPr>
                <w:rFonts w:eastAsiaTheme="minorEastAsia"/>
                <w:bCs/>
                <w:color w:val="auto"/>
                <w:sz w:val="24"/>
                <w:szCs w:val="24"/>
              </w:rPr>
              <w:t>对照专项评价具体设置原则，本项目需设置专项评价，具体见表1-1</w:t>
            </w:r>
            <w:r>
              <w:rPr>
                <w:rFonts w:eastAsiaTheme="minorEastAsia"/>
                <w:color w:val="auto"/>
                <w:kern w:val="0"/>
                <w:sz w:val="24"/>
                <w:szCs w:val="24"/>
              </w:rPr>
              <w:t>。</w:t>
            </w:r>
          </w:p>
          <w:p w14:paraId="7863E989">
            <w:pPr>
              <w:widowControl/>
              <w:spacing w:line="240" w:lineRule="auto"/>
              <w:jc w:val="center"/>
              <w:rPr>
                <w:color w:val="auto"/>
                <w:kern w:val="0"/>
                <w:sz w:val="24"/>
                <w:szCs w:val="24"/>
              </w:rPr>
            </w:pPr>
            <w:r>
              <w:rPr>
                <w:color w:val="auto"/>
                <w:kern w:val="0"/>
                <w:sz w:val="24"/>
                <w:szCs w:val="24"/>
              </w:rPr>
              <w:t>表1-1</w:t>
            </w:r>
            <w:r>
              <w:rPr>
                <w:color w:val="auto"/>
                <w:kern w:val="0"/>
                <w:sz w:val="24"/>
                <w:szCs w:val="24"/>
                <w:lang w:bidi="ar"/>
              </w:rPr>
              <w:t>专项评价设置原则表</w:t>
            </w:r>
          </w:p>
          <w:tbl>
            <w:tblPr>
              <w:tblStyle w:val="26"/>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971"/>
              <w:gridCol w:w="3665"/>
              <w:gridCol w:w="2599"/>
              <w:gridCol w:w="487"/>
            </w:tblGrid>
            <w:tr w14:paraId="28DAB58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29" w:type="pct"/>
                  <w:vAlign w:val="center"/>
                </w:tcPr>
                <w:p w14:paraId="2C032555">
                  <w:pPr>
                    <w:snapToGrid w:val="0"/>
                    <w:spacing w:line="260" w:lineRule="exact"/>
                    <w:jc w:val="center"/>
                    <w:rPr>
                      <w:b/>
                      <w:bCs/>
                      <w:color w:val="auto"/>
                    </w:rPr>
                  </w:pPr>
                  <w:r>
                    <w:rPr>
                      <w:b/>
                      <w:bCs/>
                      <w:color w:val="auto"/>
                    </w:rPr>
                    <w:t>专项评价的类别</w:t>
                  </w:r>
                </w:p>
              </w:tc>
              <w:tc>
                <w:tcPr>
                  <w:tcW w:w="2372" w:type="pct"/>
                  <w:vAlign w:val="center"/>
                </w:tcPr>
                <w:p w14:paraId="0FBBEB66">
                  <w:pPr>
                    <w:snapToGrid w:val="0"/>
                    <w:spacing w:line="260" w:lineRule="exact"/>
                    <w:jc w:val="center"/>
                    <w:rPr>
                      <w:b/>
                      <w:bCs/>
                      <w:color w:val="auto"/>
                    </w:rPr>
                  </w:pPr>
                  <w:r>
                    <w:rPr>
                      <w:b/>
                      <w:bCs/>
                      <w:color w:val="auto"/>
                    </w:rPr>
                    <w:t>设置原则</w:t>
                  </w:r>
                </w:p>
              </w:tc>
              <w:tc>
                <w:tcPr>
                  <w:tcW w:w="1682" w:type="pct"/>
                  <w:vAlign w:val="center"/>
                </w:tcPr>
                <w:p w14:paraId="37426067">
                  <w:pPr>
                    <w:snapToGrid w:val="0"/>
                    <w:spacing w:line="260" w:lineRule="exact"/>
                    <w:jc w:val="center"/>
                    <w:rPr>
                      <w:b/>
                      <w:bCs/>
                      <w:color w:val="auto"/>
                    </w:rPr>
                  </w:pPr>
                  <w:r>
                    <w:rPr>
                      <w:b/>
                      <w:bCs/>
                      <w:color w:val="auto"/>
                    </w:rPr>
                    <w:t>项目情况</w:t>
                  </w:r>
                </w:p>
              </w:tc>
              <w:tc>
                <w:tcPr>
                  <w:tcW w:w="315" w:type="pct"/>
                  <w:vAlign w:val="center"/>
                </w:tcPr>
                <w:p w14:paraId="087919AD">
                  <w:pPr>
                    <w:snapToGrid w:val="0"/>
                    <w:spacing w:line="260" w:lineRule="exact"/>
                    <w:jc w:val="center"/>
                    <w:rPr>
                      <w:b/>
                      <w:bCs/>
                      <w:color w:val="auto"/>
                    </w:rPr>
                  </w:pPr>
                  <w:r>
                    <w:rPr>
                      <w:b/>
                      <w:bCs/>
                      <w:color w:val="auto"/>
                    </w:rPr>
                    <w:t>设置情况</w:t>
                  </w:r>
                </w:p>
              </w:tc>
            </w:tr>
            <w:tr w14:paraId="779B8F9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746" w:hRule="atLeast"/>
                <w:jc w:val="center"/>
              </w:trPr>
              <w:tc>
                <w:tcPr>
                  <w:tcW w:w="629" w:type="pct"/>
                  <w:vAlign w:val="center"/>
                </w:tcPr>
                <w:p w14:paraId="6973A26F">
                  <w:pPr>
                    <w:snapToGrid w:val="0"/>
                    <w:spacing w:line="260" w:lineRule="exact"/>
                    <w:jc w:val="center"/>
                    <w:rPr>
                      <w:color w:val="auto"/>
                    </w:rPr>
                  </w:pPr>
                  <w:r>
                    <w:rPr>
                      <w:color w:val="auto"/>
                    </w:rPr>
                    <w:t>大气</w:t>
                  </w:r>
                </w:p>
              </w:tc>
              <w:tc>
                <w:tcPr>
                  <w:tcW w:w="3578" w:type="dxa"/>
                  <w:vAlign w:val="center"/>
                </w:tcPr>
                <w:p w14:paraId="142B6FB7">
                  <w:pPr>
                    <w:pStyle w:val="42"/>
                    <w:rPr>
                      <w:color w:val="auto"/>
                    </w:rPr>
                  </w:pPr>
                  <w:r>
                    <w:rPr>
                      <w:color w:val="auto"/>
                    </w:rPr>
                    <w:t>排放废气含有毒有害污染物1、二噁英、苯并[a]芘、氰化物、氯气且厂界外500米范围内有环境空气保护目标2的建设项目</w:t>
                  </w:r>
                  <w:r>
                    <w:rPr>
                      <w:rFonts w:hint="eastAsia"/>
                      <w:color w:val="auto"/>
                    </w:rPr>
                    <w:t>。</w:t>
                  </w:r>
                </w:p>
              </w:tc>
              <w:tc>
                <w:tcPr>
                  <w:tcW w:w="1682" w:type="pct"/>
                  <w:vAlign w:val="center"/>
                </w:tcPr>
                <w:p w14:paraId="61698ED4">
                  <w:pPr>
                    <w:wordWrap w:val="0"/>
                    <w:adjustRightInd w:val="0"/>
                    <w:snapToGrid w:val="0"/>
                    <w:spacing w:line="260" w:lineRule="exact"/>
                    <w:jc w:val="center"/>
                    <w:rPr>
                      <w:color w:val="auto"/>
                    </w:rPr>
                  </w:pPr>
                  <w:r>
                    <w:rPr>
                      <w:color w:val="auto"/>
                      <w:lang w:val="zh-TW"/>
                    </w:rPr>
                    <w:t>本项目排放废气不涉及有毒有害污染物</w:t>
                  </w:r>
                  <w:r>
                    <w:rPr>
                      <w:rFonts w:hint="eastAsia"/>
                      <w:color w:val="auto"/>
                    </w:rPr>
                    <w:t>1</w:t>
                  </w:r>
                  <w:r>
                    <w:rPr>
                      <w:color w:val="auto"/>
                      <w:lang w:val="zh-TW"/>
                    </w:rPr>
                    <w:t>、二噁英、苯并[a]芘、氰化物、氯气</w:t>
                  </w:r>
                  <w:r>
                    <w:rPr>
                      <w:rFonts w:hint="eastAsia"/>
                      <w:color w:val="auto"/>
                      <w:lang w:val="zh-TW"/>
                    </w:rPr>
                    <w:t>。</w:t>
                  </w:r>
                </w:p>
              </w:tc>
              <w:tc>
                <w:tcPr>
                  <w:tcW w:w="315" w:type="pct"/>
                  <w:vAlign w:val="center"/>
                </w:tcPr>
                <w:p w14:paraId="29994291">
                  <w:pPr>
                    <w:snapToGrid w:val="0"/>
                    <w:spacing w:line="260" w:lineRule="exact"/>
                    <w:jc w:val="center"/>
                    <w:rPr>
                      <w:color w:val="auto"/>
                    </w:rPr>
                  </w:pPr>
                  <w:r>
                    <w:rPr>
                      <w:color w:val="auto"/>
                    </w:rPr>
                    <w:t>无</w:t>
                  </w:r>
                </w:p>
              </w:tc>
            </w:tr>
            <w:tr w14:paraId="3385B54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629" w:type="pct"/>
                  <w:vAlign w:val="center"/>
                </w:tcPr>
                <w:p w14:paraId="25DF6DD1">
                  <w:pPr>
                    <w:snapToGrid w:val="0"/>
                    <w:spacing w:line="260" w:lineRule="exact"/>
                    <w:jc w:val="center"/>
                    <w:rPr>
                      <w:color w:val="auto"/>
                    </w:rPr>
                  </w:pPr>
                  <w:r>
                    <w:rPr>
                      <w:color w:val="auto"/>
                    </w:rPr>
                    <w:t>地表水</w:t>
                  </w:r>
                </w:p>
              </w:tc>
              <w:tc>
                <w:tcPr>
                  <w:tcW w:w="3578" w:type="dxa"/>
                  <w:vAlign w:val="center"/>
                </w:tcPr>
                <w:p w14:paraId="0784B0FD">
                  <w:pPr>
                    <w:pStyle w:val="42"/>
                    <w:rPr>
                      <w:color w:val="auto"/>
                    </w:rPr>
                  </w:pPr>
                  <w:r>
                    <w:rPr>
                      <w:color w:val="auto"/>
                    </w:rPr>
                    <w:t>新增工业废水直排建设项目（槽罐车外送污水处理厂的除外）；新增废水直排的污水集中处理厂</w:t>
                  </w:r>
                  <w:r>
                    <w:rPr>
                      <w:rFonts w:hint="eastAsia"/>
                      <w:color w:val="auto"/>
                    </w:rPr>
                    <w:t>。</w:t>
                  </w:r>
                </w:p>
              </w:tc>
              <w:tc>
                <w:tcPr>
                  <w:tcW w:w="1682" w:type="pct"/>
                  <w:vAlign w:val="center"/>
                </w:tcPr>
                <w:p w14:paraId="08868705">
                  <w:pPr>
                    <w:wordWrap w:val="0"/>
                    <w:adjustRightInd w:val="0"/>
                    <w:snapToGrid w:val="0"/>
                    <w:spacing w:line="260" w:lineRule="exact"/>
                    <w:jc w:val="center"/>
                    <w:rPr>
                      <w:color w:val="auto"/>
                      <w:kern w:val="0"/>
                      <w:lang w:val="zh-TW" w:bidi="ar"/>
                    </w:rPr>
                  </w:pPr>
                  <w:r>
                    <w:rPr>
                      <w:rFonts w:hint="eastAsia"/>
                      <w:color w:val="auto"/>
                      <w:lang w:val="zh-TW"/>
                    </w:rPr>
                    <w:t>本</w:t>
                  </w:r>
                  <w:r>
                    <w:rPr>
                      <w:rFonts w:hint="eastAsia"/>
                      <w:color w:val="auto"/>
                      <w:kern w:val="0"/>
                      <w:lang w:val="zh-TW" w:bidi="ar"/>
                    </w:rPr>
                    <w:t>项目无生产废水排放，</w:t>
                  </w:r>
                </w:p>
                <w:p w14:paraId="2BF68BA2">
                  <w:pPr>
                    <w:wordWrap w:val="0"/>
                    <w:adjustRightInd w:val="0"/>
                    <w:snapToGrid w:val="0"/>
                    <w:spacing w:line="260" w:lineRule="exact"/>
                    <w:jc w:val="center"/>
                    <w:rPr>
                      <w:color w:val="auto"/>
                    </w:rPr>
                  </w:pPr>
                  <w:r>
                    <w:rPr>
                      <w:rFonts w:hint="eastAsia"/>
                      <w:color w:val="auto"/>
                      <w:kern w:val="0"/>
                      <w:lang w:bidi="ar"/>
                    </w:rPr>
                    <w:t>生活污水经预处理后通过管网接入</w:t>
                  </w:r>
                  <w:r>
                    <w:rPr>
                      <w:color w:val="auto"/>
                      <w:kern w:val="0"/>
                      <w:lang w:bidi="ar"/>
                    </w:rPr>
                    <w:t>江阴市山泉污水处理厂</w:t>
                  </w:r>
                  <w:r>
                    <w:rPr>
                      <w:rFonts w:hint="eastAsia"/>
                      <w:color w:val="auto"/>
                      <w:kern w:val="0"/>
                      <w:lang w:bidi="ar"/>
                    </w:rPr>
                    <w:t>。</w:t>
                  </w:r>
                </w:p>
              </w:tc>
              <w:tc>
                <w:tcPr>
                  <w:tcW w:w="315" w:type="pct"/>
                  <w:vAlign w:val="center"/>
                </w:tcPr>
                <w:p w14:paraId="2C577DE6">
                  <w:pPr>
                    <w:snapToGrid w:val="0"/>
                    <w:spacing w:line="260" w:lineRule="exact"/>
                    <w:jc w:val="center"/>
                    <w:rPr>
                      <w:color w:val="auto"/>
                    </w:rPr>
                  </w:pPr>
                  <w:r>
                    <w:rPr>
                      <w:color w:val="auto"/>
                    </w:rPr>
                    <w:t>无</w:t>
                  </w:r>
                </w:p>
              </w:tc>
            </w:tr>
            <w:tr w14:paraId="5F87EA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629" w:type="pct"/>
                  <w:vAlign w:val="center"/>
                </w:tcPr>
                <w:p w14:paraId="2B890F29">
                  <w:pPr>
                    <w:snapToGrid w:val="0"/>
                    <w:spacing w:line="260" w:lineRule="exact"/>
                    <w:jc w:val="center"/>
                    <w:rPr>
                      <w:color w:val="auto"/>
                    </w:rPr>
                  </w:pPr>
                  <w:r>
                    <w:rPr>
                      <w:color w:val="auto"/>
                    </w:rPr>
                    <w:t>环境风险</w:t>
                  </w:r>
                </w:p>
              </w:tc>
              <w:tc>
                <w:tcPr>
                  <w:tcW w:w="3578" w:type="dxa"/>
                  <w:vAlign w:val="center"/>
                </w:tcPr>
                <w:p w14:paraId="4417569C">
                  <w:pPr>
                    <w:pStyle w:val="42"/>
                    <w:rPr>
                      <w:color w:val="auto"/>
                    </w:rPr>
                  </w:pPr>
                  <w:r>
                    <w:rPr>
                      <w:color w:val="auto"/>
                    </w:rPr>
                    <w:t>有毒有害和易燃易爆危险物质存储量超过临界量3的建设项目</w:t>
                  </w:r>
                  <w:r>
                    <w:rPr>
                      <w:rFonts w:hint="eastAsia"/>
                      <w:color w:val="auto"/>
                    </w:rPr>
                    <w:t>。</w:t>
                  </w:r>
                </w:p>
              </w:tc>
              <w:tc>
                <w:tcPr>
                  <w:tcW w:w="1682" w:type="pct"/>
                  <w:vAlign w:val="center"/>
                </w:tcPr>
                <w:p w14:paraId="4E6279C9">
                  <w:pPr>
                    <w:wordWrap w:val="0"/>
                    <w:adjustRightInd w:val="0"/>
                    <w:snapToGrid w:val="0"/>
                    <w:spacing w:line="260" w:lineRule="exact"/>
                    <w:jc w:val="center"/>
                    <w:rPr>
                      <w:color w:val="auto"/>
                      <w:lang w:val="zh-TW"/>
                    </w:rPr>
                  </w:pPr>
                  <w:r>
                    <w:rPr>
                      <w:color w:val="auto"/>
                    </w:rPr>
                    <w:t>本项目有毒有害和易燃易爆危险物质存储量均不超过临界量3，不需设置环境风险专项</w:t>
                  </w:r>
                </w:p>
              </w:tc>
              <w:tc>
                <w:tcPr>
                  <w:tcW w:w="315" w:type="pct"/>
                  <w:vAlign w:val="center"/>
                </w:tcPr>
                <w:p w14:paraId="32E6E910">
                  <w:pPr>
                    <w:snapToGrid w:val="0"/>
                    <w:spacing w:line="260" w:lineRule="exact"/>
                    <w:jc w:val="center"/>
                    <w:rPr>
                      <w:color w:val="auto"/>
                    </w:rPr>
                  </w:pPr>
                  <w:r>
                    <w:rPr>
                      <w:color w:val="auto"/>
                    </w:rPr>
                    <w:t>无</w:t>
                  </w:r>
                </w:p>
              </w:tc>
            </w:tr>
            <w:tr w14:paraId="63BEF8D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629" w:type="pct"/>
                  <w:vAlign w:val="center"/>
                </w:tcPr>
                <w:p w14:paraId="7C4A419A">
                  <w:pPr>
                    <w:snapToGrid w:val="0"/>
                    <w:spacing w:line="260" w:lineRule="exact"/>
                    <w:jc w:val="center"/>
                    <w:rPr>
                      <w:color w:val="auto"/>
                    </w:rPr>
                  </w:pPr>
                  <w:r>
                    <w:rPr>
                      <w:color w:val="auto"/>
                    </w:rPr>
                    <w:t>生态</w:t>
                  </w:r>
                </w:p>
              </w:tc>
              <w:tc>
                <w:tcPr>
                  <w:tcW w:w="3578" w:type="dxa"/>
                  <w:vAlign w:val="center"/>
                </w:tcPr>
                <w:p w14:paraId="47C3B3EB">
                  <w:pPr>
                    <w:pStyle w:val="42"/>
                    <w:rPr>
                      <w:color w:val="auto"/>
                    </w:rPr>
                  </w:pPr>
                  <w:r>
                    <w:rPr>
                      <w:color w:val="auto"/>
                    </w:rPr>
                    <w:t>取水口下游500米范围内有重要水生生物的自然产卵场、索饵场、越冬场和洄游通道的新增河道取水的污染类建设项目</w:t>
                  </w:r>
                  <w:r>
                    <w:rPr>
                      <w:rFonts w:hint="eastAsia"/>
                      <w:color w:val="auto"/>
                    </w:rPr>
                    <w:t>。</w:t>
                  </w:r>
                </w:p>
              </w:tc>
              <w:tc>
                <w:tcPr>
                  <w:tcW w:w="1682" w:type="pct"/>
                  <w:vAlign w:val="center"/>
                </w:tcPr>
                <w:p w14:paraId="39DA2BB1">
                  <w:pPr>
                    <w:wordWrap w:val="0"/>
                    <w:adjustRightInd w:val="0"/>
                    <w:snapToGrid w:val="0"/>
                    <w:spacing w:line="260" w:lineRule="exact"/>
                    <w:jc w:val="center"/>
                    <w:rPr>
                      <w:color w:val="auto"/>
                      <w:lang w:val="zh-TW"/>
                    </w:rPr>
                  </w:pPr>
                  <w:r>
                    <w:rPr>
                      <w:color w:val="auto"/>
                      <w:lang w:val="zh-TW"/>
                    </w:rPr>
                    <w:t>本项目不属于新增河道取水项目</w:t>
                  </w:r>
                </w:p>
              </w:tc>
              <w:tc>
                <w:tcPr>
                  <w:tcW w:w="315" w:type="pct"/>
                  <w:vAlign w:val="center"/>
                </w:tcPr>
                <w:p w14:paraId="01CAFFAB">
                  <w:pPr>
                    <w:snapToGrid w:val="0"/>
                    <w:spacing w:line="260" w:lineRule="exact"/>
                    <w:jc w:val="center"/>
                    <w:rPr>
                      <w:color w:val="auto"/>
                    </w:rPr>
                  </w:pPr>
                  <w:r>
                    <w:rPr>
                      <w:color w:val="auto"/>
                    </w:rPr>
                    <w:t>无</w:t>
                  </w:r>
                </w:p>
              </w:tc>
            </w:tr>
            <w:tr w14:paraId="57BCA2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629" w:type="pct"/>
                  <w:vAlign w:val="center"/>
                </w:tcPr>
                <w:p w14:paraId="305D5961">
                  <w:pPr>
                    <w:snapToGrid w:val="0"/>
                    <w:spacing w:line="260" w:lineRule="exact"/>
                    <w:jc w:val="center"/>
                    <w:rPr>
                      <w:color w:val="auto"/>
                    </w:rPr>
                  </w:pPr>
                  <w:r>
                    <w:rPr>
                      <w:color w:val="auto"/>
                    </w:rPr>
                    <w:t>海洋</w:t>
                  </w:r>
                </w:p>
              </w:tc>
              <w:tc>
                <w:tcPr>
                  <w:tcW w:w="3578" w:type="dxa"/>
                  <w:vAlign w:val="center"/>
                </w:tcPr>
                <w:p w14:paraId="083A9FBB">
                  <w:pPr>
                    <w:pStyle w:val="42"/>
                    <w:rPr>
                      <w:color w:val="auto"/>
                    </w:rPr>
                  </w:pPr>
                  <w:r>
                    <w:rPr>
                      <w:color w:val="auto"/>
                    </w:rPr>
                    <w:t>直接向海排放污染物的海洋工程建设项目</w:t>
                  </w:r>
                  <w:r>
                    <w:rPr>
                      <w:rFonts w:hint="eastAsia"/>
                      <w:color w:val="auto"/>
                    </w:rPr>
                    <w:t>。</w:t>
                  </w:r>
                </w:p>
              </w:tc>
              <w:tc>
                <w:tcPr>
                  <w:tcW w:w="1682" w:type="pct"/>
                  <w:vAlign w:val="center"/>
                </w:tcPr>
                <w:p w14:paraId="4C0E72F8">
                  <w:pPr>
                    <w:wordWrap w:val="0"/>
                    <w:adjustRightInd w:val="0"/>
                    <w:snapToGrid w:val="0"/>
                    <w:spacing w:line="260" w:lineRule="exact"/>
                    <w:rPr>
                      <w:color w:val="auto"/>
                      <w:lang w:val="zh-TW"/>
                    </w:rPr>
                  </w:pPr>
                  <w:r>
                    <w:rPr>
                      <w:color w:val="auto"/>
                      <w:lang w:val="zh-TW"/>
                    </w:rPr>
                    <w:t>本项目不属于海洋工程建设项目</w:t>
                  </w:r>
                </w:p>
              </w:tc>
              <w:tc>
                <w:tcPr>
                  <w:tcW w:w="315" w:type="pct"/>
                  <w:vAlign w:val="center"/>
                </w:tcPr>
                <w:p w14:paraId="615D6A1C">
                  <w:pPr>
                    <w:snapToGrid w:val="0"/>
                    <w:spacing w:line="260" w:lineRule="exact"/>
                    <w:jc w:val="center"/>
                    <w:rPr>
                      <w:color w:val="auto"/>
                    </w:rPr>
                  </w:pPr>
                  <w:r>
                    <w:rPr>
                      <w:color w:val="auto"/>
                    </w:rPr>
                    <w:t>无</w:t>
                  </w:r>
                </w:p>
              </w:tc>
            </w:tr>
          </w:tbl>
          <w:p w14:paraId="7AA33819">
            <w:pPr>
              <w:autoSpaceDE w:val="0"/>
              <w:autoSpaceDN w:val="0"/>
              <w:adjustRightInd w:val="0"/>
              <w:snapToGrid w:val="0"/>
              <w:spacing w:line="240" w:lineRule="auto"/>
              <w:ind w:firstLine="360" w:firstLineChars="200"/>
              <w:rPr>
                <w:color w:val="auto"/>
                <w:sz w:val="18"/>
                <w:szCs w:val="18"/>
              </w:rPr>
            </w:pPr>
            <w:r>
              <w:rPr>
                <w:color w:val="auto"/>
                <w:sz w:val="18"/>
                <w:szCs w:val="18"/>
              </w:rPr>
              <w:t>注：1、废气中有毒有害污染物指纳入《有毒有害大气污染物名录》的污染物（不包括无排放标准的污染物）。</w:t>
            </w:r>
          </w:p>
          <w:p w14:paraId="62AC1EED">
            <w:pPr>
              <w:autoSpaceDE w:val="0"/>
              <w:autoSpaceDN w:val="0"/>
              <w:adjustRightInd w:val="0"/>
              <w:snapToGrid w:val="0"/>
              <w:spacing w:line="240" w:lineRule="auto"/>
              <w:ind w:firstLine="360" w:firstLineChars="200"/>
              <w:rPr>
                <w:color w:val="auto"/>
                <w:sz w:val="18"/>
                <w:szCs w:val="18"/>
              </w:rPr>
            </w:pPr>
            <w:r>
              <w:rPr>
                <w:color w:val="auto"/>
                <w:sz w:val="18"/>
                <w:szCs w:val="18"/>
              </w:rPr>
              <w:t>2、环境空气保护目标指自然保护区、风景名胜区、居住区、文化区和农村地区中人群较集中的区域。</w:t>
            </w:r>
          </w:p>
          <w:p w14:paraId="002B5014">
            <w:pPr>
              <w:autoSpaceDE w:val="0"/>
              <w:autoSpaceDN w:val="0"/>
              <w:adjustRightInd w:val="0"/>
              <w:snapToGrid w:val="0"/>
              <w:spacing w:line="240" w:lineRule="auto"/>
              <w:ind w:firstLine="360" w:firstLineChars="200"/>
              <w:jc w:val="left"/>
              <w:rPr>
                <w:color w:val="auto"/>
                <w:kern w:val="0"/>
              </w:rPr>
            </w:pPr>
            <w:r>
              <w:rPr>
                <w:color w:val="auto"/>
                <w:sz w:val="18"/>
                <w:szCs w:val="18"/>
              </w:rPr>
              <w:t>3、临界量及其计算方法可参考《建设项目环境</w:t>
            </w:r>
            <w:r>
              <w:rPr>
                <w:rFonts w:hint="eastAsia"/>
                <w:color w:val="auto"/>
                <w:sz w:val="18"/>
                <w:szCs w:val="18"/>
              </w:rPr>
              <w:t>风险</w:t>
            </w:r>
            <w:r>
              <w:rPr>
                <w:color w:val="auto"/>
                <w:sz w:val="18"/>
                <w:szCs w:val="18"/>
              </w:rPr>
              <w:t>评价技术导则》（HJ169）附录B、附录C。</w:t>
            </w:r>
          </w:p>
        </w:tc>
      </w:tr>
      <w:tr w14:paraId="6D10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27" w:type="dxa"/>
            <w:shd w:val="clear" w:color="auto" w:fill="auto"/>
            <w:vAlign w:val="center"/>
          </w:tcPr>
          <w:p w14:paraId="1194169A">
            <w:pPr>
              <w:autoSpaceDE w:val="0"/>
              <w:autoSpaceDN w:val="0"/>
              <w:adjustRightInd w:val="0"/>
              <w:snapToGrid w:val="0"/>
              <w:spacing w:line="240" w:lineRule="auto"/>
              <w:jc w:val="center"/>
              <w:rPr>
                <w:color w:val="auto"/>
                <w:kern w:val="0"/>
              </w:rPr>
            </w:pPr>
            <w:r>
              <w:rPr>
                <w:color w:val="auto"/>
                <w:sz w:val="24"/>
                <w:szCs w:val="24"/>
              </w:rPr>
              <w:t>规划情况</w:t>
            </w:r>
          </w:p>
        </w:tc>
        <w:tc>
          <w:tcPr>
            <w:tcW w:w="7943" w:type="dxa"/>
            <w:gridSpan w:val="3"/>
            <w:shd w:val="clear" w:color="auto" w:fill="auto"/>
            <w:vAlign w:val="center"/>
          </w:tcPr>
          <w:p w14:paraId="7933DE80">
            <w:pPr>
              <w:autoSpaceDE w:val="0"/>
              <w:autoSpaceDN w:val="0"/>
              <w:adjustRightInd w:val="0"/>
              <w:snapToGrid w:val="0"/>
              <w:rPr>
                <w:color w:val="auto"/>
                <w:sz w:val="24"/>
                <w:szCs w:val="24"/>
              </w:rPr>
            </w:pPr>
            <w:r>
              <w:rPr>
                <w:color w:val="auto"/>
                <w:sz w:val="24"/>
                <w:szCs w:val="24"/>
              </w:rPr>
              <w:t>规划名称：</w:t>
            </w:r>
            <w:r>
              <w:rPr>
                <w:rFonts w:hint="eastAsia"/>
                <w:color w:val="auto"/>
                <w:sz w:val="24"/>
                <w:szCs w:val="24"/>
              </w:rPr>
              <w:t>《江阴市周庄镇工业园区详细规划及城市设计》</w:t>
            </w:r>
          </w:p>
          <w:p w14:paraId="55EBCE9D">
            <w:pPr>
              <w:autoSpaceDE w:val="0"/>
              <w:autoSpaceDN w:val="0"/>
              <w:adjustRightInd w:val="0"/>
              <w:snapToGrid w:val="0"/>
              <w:rPr>
                <w:color w:val="auto"/>
                <w:sz w:val="24"/>
                <w:szCs w:val="24"/>
              </w:rPr>
            </w:pPr>
            <w:r>
              <w:rPr>
                <w:color w:val="auto"/>
                <w:sz w:val="24"/>
                <w:szCs w:val="24"/>
              </w:rPr>
              <w:t>审批机关：</w:t>
            </w:r>
            <w:r>
              <w:rPr>
                <w:rFonts w:hint="eastAsia"/>
                <w:color w:val="auto"/>
                <w:sz w:val="24"/>
                <w:szCs w:val="24"/>
              </w:rPr>
              <w:t>江阴市人民政府</w:t>
            </w:r>
          </w:p>
          <w:p w14:paraId="526241AA">
            <w:pPr>
              <w:autoSpaceDE w:val="0"/>
              <w:autoSpaceDN w:val="0"/>
              <w:adjustRightInd w:val="0"/>
              <w:snapToGrid w:val="0"/>
              <w:rPr>
                <w:color w:val="auto"/>
                <w:sz w:val="24"/>
                <w:szCs w:val="24"/>
              </w:rPr>
            </w:pPr>
            <w:r>
              <w:rPr>
                <w:color w:val="auto"/>
                <w:sz w:val="24"/>
                <w:szCs w:val="24"/>
              </w:rPr>
              <w:t>审批文件名称：</w:t>
            </w:r>
            <w:r>
              <w:rPr>
                <w:rFonts w:hint="eastAsia"/>
                <w:color w:val="auto"/>
                <w:sz w:val="24"/>
                <w:szCs w:val="24"/>
              </w:rPr>
              <w:t>《市政府关于同意江阴市周庄镇工业园区详细规划及城市设计的批复》</w:t>
            </w:r>
          </w:p>
          <w:p w14:paraId="42846B2C">
            <w:pPr>
              <w:autoSpaceDE w:val="0"/>
              <w:autoSpaceDN w:val="0"/>
              <w:adjustRightInd w:val="0"/>
              <w:snapToGrid w:val="0"/>
              <w:rPr>
                <w:color w:val="auto"/>
                <w:sz w:val="24"/>
                <w:szCs w:val="24"/>
              </w:rPr>
            </w:pPr>
            <w:r>
              <w:rPr>
                <w:color w:val="auto"/>
                <w:sz w:val="24"/>
                <w:szCs w:val="24"/>
              </w:rPr>
              <w:t>文号：</w:t>
            </w:r>
            <w:r>
              <w:rPr>
                <w:rFonts w:hint="eastAsia"/>
                <w:color w:val="auto"/>
                <w:sz w:val="24"/>
                <w:szCs w:val="24"/>
              </w:rPr>
              <w:t>澄政复〔</w:t>
            </w:r>
            <w:r>
              <w:rPr>
                <w:color w:val="auto"/>
                <w:sz w:val="24"/>
                <w:szCs w:val="24"/>
              </w:rPr>
              <w:t>2023</w:t>
            </w:r>
            <w:r>
              <w:rPr>
                <w:rFonts w:hint="eastAsia"/>
                <w:color w:val="auto"/>
                <w:sz w:val="24"/>
                <w:szCs w:val="24"/>
              </w:rPr>
              <w:t>〕</w:t>
            </w:r>
            <w:r>
              <w:rPr>
                <w:color w:val="auto"/>
                <w:sz w:val="24"/>
                <w:szCs w:val="24"/>
              </w:rPr>
              <w:t>31</w:t>
            </w:r>
            <w:r>
              <w:rPr>
                <w:rFonts w:hint="eastAsia"/>
                <w:color w:val="auto"/>
                <w:sz w:val="24"/>
                <w:szCs w:val="24"/>
              </w:rPr>
              <w:t>号</w:t>
            </w:r>
          </w:p>
        </w:tc>
      </w:tr>
      <w:tr w14:paraId="31C60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927" w:type="dxa"/>
            <w:shd w:val="clear" w:color="auto" w:fill="auto"/>
            <w:vAlign w:val="center"/>
          </w:tcPr>
          <w:p w14:paraId="285AE4E9">
            <w:pPr>
              <w:adjustRightInd w:val="0"/>
              <w:snapToGrid w:val="0"/>
              <w:spacing w:line="240" w:lineRule="auto"/>
              <w:jc w:val="center"/>
              <w:rPr>
                <w:color w:val="auto"/>
                <w:kern w:val="0"/>
              </w:rPr>
            </w:pPr>
            <w:r>
              <w:rPr>
                <w:color w:val="auto"/>
                <w:sz w:val="24"/>
                <w:szCs w:val="24"/>
              </w:rPr>
              <w:t>规划环境影响评价情况</w:t>
            </w:r>
          </w:p>
        </w:tc>
        <w:tc>
          <w:tcPr>
            <w:tcW w:w="7943" w:type="dxa"/>
            <w:gridSpan w:val="3"/>
            <w:shd w:val="clear" w:color="auto" w:fill="auto"/>
            <w:vAlign w:val="center"/>
          </w:tcPr>
          <w:p w14:paraId="420C7A83">
            <w:pPr>
              <w:pStyle w:val="11"/>
              <w:rPr>
                <w:color w:val="auto"/>
                <w:sz w:val="24"/>
                <w:szCs w:val="24"/>
              </w:rPr>
            </w:pPr>
            <w:r>
              <w:rPr>
                <w:rFonts w:hint="eastAsia"/>
                <w:color w:val="auto"/>
                <w:sz w:val="24"/>
                <w:szCs w:val="24"/>
              </w:rPr>
              <w:t>由于《江阴市周庄镇工业园区开发建设规划（</w:t>
            </w:r>
            <w:r>
              <w:rPr>
                <w:color w:val="auto"/>
                <w:sz w:val="24"/>
                <w:szCs w:val="24"/>
              </w:rPr>
              <w:t>2023~2030</w:t>
            </w:r>
            <w:r>
              <w:rPr>
                <w:rFonts w:hint="eastAsia"/>
                <w:color w:val="auto"/>
                <w:sz w:val="24"/>
                <w:szCs w:val="24"/>
              </w:rPr>
              <w:t>年）环境影响报告书》正在报批中，因此本项目主要对照已审批的《江阴市周庄镇工业集中区环境影响报告书》</w:t>
            </w:r>
            <w:r>
              <w:rPr>
                <w:rFonts w:hint="eastAsia"/>
                <w:color w:val="auto"/>
                <w:sz w:val="24"/>
                <w:szCs w:val="24"/>
                <w:lang w:val="en-US" w:eastAsia="zh-CN"/>
              </w:rPr>
              <w:t>及</w:t>
            </w:r>
            <w:r>
              <w:rPr>
                <w:rFonts w:hint="eastAsia"/>
                <w:color w:val="auto"/>
                <w:sz w:val="24"/>
                <w:szCs w:val="24"/>
              </w:rPr>
              <w:t>《江阴市周庄镇工业园区开发建设规划（</w:t>
            </w:r>
            <w:r>
              <w:rPr>
                <w:color w:val="auto"/>
                <w:sz w:val="24"/>
                <w:szCs w:val="24"/>
              </w:rPr>
              <w:t>2023~2030</w:t>
            </w:r>
            <w:r>
              <w:rPr>
                <w:rFonts w:hint="eastAsia"/>
                <w:color w:val="auto"/>
                <w:sz w:val="24"/>
                <w:szCs w:val="24"/>
              </w:rPr>
              <w:t>年）环境影响报告书》</w:t>
            </w:r>
            <w:r>
              <w:rPr>
                <w:rFonts w:hint="eastAsia"/>
                <w:color w:val="auto"/>
              </w:rPr>
              <w:t>征求意见稿</w:t>
            </w:r>
            <w:r>
              <w:rPr>
                <w:rFonts w:hint="eastAsia"/>
                <w:color w:val="auto"/>
                <w:sz w:val="24"/>
                <w:szCs w:val="24"/>
              </w:rPr>
              <w:t>。</w:t>
            </w:r>
          </w:p>
          <w:p w14:paraId="73C4D272">
            <w:pPr>
              <w:widowControl/>
              <w:rPr>
                <w:color w:val="auto"/>
                <w:sz w:val="24"/>
                <w:szCs w:val="24"/>
              </w:rPr>
            </w:pPr>
            <w:r>
              <w:rPr>
                <w:rFonts w:hint="eastAsia"/>
                <w:color w:val="auto"/>
                <w:sz w:val="24"/>
                <w:szCs w:val="24"/>
              </w:rPr>
              <w:t>规划环境影响评价文件名称：《江阴市周庄镇工业集中区环境影响报告书》</w:t>
            </w:r>
          </w:p>
          <w:p w14:paraId="60CA5DF7">
            <w:pPr>
              <w:widowControl/>
              <w:rPr>
                <w:color w:val="auto"/>
                <w:sz w:val="24"/>
                <w:szCs w:val="24"/>
              </w:rPr>
            </w:pPr>
            <w:r>
              <w:rPr>
                <w:rFonts w:hint="eastAsia"/>
                <w:color w:val="auto"/>
                <w:sz w:val="24"/>
                <w:szCs w:val="24"/>
              </w:rPr>
              <w:t>审查机关：江阴市环境保护局</w:t>
            </w:r>
          </w:p>
          <w:p w14:paraId="4E83C4FD">
            <w:pPr>
              <w:widowControl/>
              <w:rPr>
                <w:color w:val="auto"/>
                <w:sz w:val="24"/>
                <w:szCs w:val="24"/>
              </w:rPr>
            </w:pPr>
            <w:r>
              <w:rPr>
                <w:rFonts w:hint="eastAsia"/>
                <w:color w:val="auto"/>
                <w:sz w:val="24"/>
                <w:szCs w:val="24"/>
              </w:rPr>
              <w:t>审查文件：《关于江阴市周庄镇工业集中区环境影响报告书的批复》</w:t>
            </w:r>
          </w:p>
          <w:p w14:paraId="30290C35">
            <w:pPr>
              <w:autoSpaceDE w:val="0"/>
              <w:autoSpaceDN w:val="0"/>
              <w:adjustRightInd w:val="0"/>
              <w:snapToGrid w:val="0"/>
              <w:rPr>
                <w:color w:val="auto"/>
              </w:rPr>
            </w:pPr>
            <w:r>
              <w:rPr>
                <w:rFonts w:hint="eastAsia"/>
                <w:color w:val="auto"/>
                <w:sz w:val="24"/>
                <w:szCs w:val="24"/>
              </w:rPr>
              <w:t>审查文号：澄环管〔</w:t>
            </w:r>
            <w:r>
              <w:rPr>
                <w:color w:val="auto"/>
                <w:sz w:val="24"/>
                <w:szCs w:val="24"/>
              </w:rPr>
              <w:t>2008</w:t>
            </w:r>
            <w:r>
              <w:rPr>
                <w:rFonts w:hint="eastAsia"/>
                <w:color w:val="auto"/>
                <w:sz w:val="24"/>
                <w:szCs w:val="24"/>
              </w:rPr>
              <w:t>〕</w:t>
            </w:r>
            <w:r>
              <w:rPr>
                <w:color w:val="auto"/>
                <w:sz w:val="24"/>
                <w:szCs w:val="24"/>
              </w:rPr>
              <w:t>20</w:t>
            </w:r>
            <w:r>
              <w:rPr>
                <w:rFonts w:hint="eastAsia"/>
                <w:color w:val="auto"/>
                <w:sz w:val="24"/>
                <w:szCs w:val="24"/>
              </w:rPr>
              <w:t>号</w:t>
            </w:r>
          </w:p>
        </w:tc>
      </w:tr>
      <w:tr w14:paraId="1D471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27" w:type="dxa"/>
            <w:shd w:val="clear" w:color="auto" w:fill="auto"/>
            <w:vAlign w:val="center"/>
          </w:tcPr>
          <w:p w14:paraId="163EBEC7">
            <w:pPr>
              <w:autoSpaceDE w:val="0"/>
              <w:autoSpaceDN w:val="0"/>
              <w:adjustRightInd w:val="0"/>
              <w:snapToGrid w:val="0"/>
              <w:spacing w:line="240" w:lineRule="auto"/>
              <w:jc w:val="center"/>
              <w:rPr>
                <w:color w:val="auto"/>
                <w:kern w:val="0"/>
              </w:rPr>
            </w:pPr>
            <w:r>
              <w:rPr>
                <w:color w:val="auto"/>
                <w:kern w:val="0"/>
                <w:sz w:val="24"/>
                <w:szCs w:val="24"/>
              </w:rPr>
              <w:t>规划及规划环境影响评价符合性分析</w:t>
            </w:r>
          </w:p>
        </w:tc>
        <w:tc>
          <w:tcPr>
            <w:tcW w:w="7943" w:type="dxa"/>
            <w:gridSpan w:val="3"/>
            <w:shd w:val="clear" w:color="auto" w:fill="auto"/>
          </w:tcPr>
          <w:p w14:paraId="002999B6">
            <w:pPr>
              <w:adjustRightInd w:val="0"/>
              <w:snapToGrid w:val="0"/>
              <w:ind w:firstLine="482" w:firstLineChars="200"/>
              <w:rPr>
                <w:b/>
                <w:bCs/>
                <w:color w:val="auto"/>
                <w:kern w:val="0"/>
                <w:sz w:val="24"/>
                <w:szCs w:val="24"/>
              </w:rPr>
            </w:pPr>
            <w:r>
              <w:rPr>
                <w:rFonts w:hint="eastAsia"/>
                <w:b/>
                <w:bCs/>
                <w:color w:val="auto"/>
                <w:kern w:val="0"/>
                <w:sz w:val="24"/>
                <w:szCs w:val="24"/>
              </w:rPr>
              <w:t>（1）规划范围</w:t>
            </w:r>
          </w:p>
          <w:p w14:paraId="56FA7E2F">
            <w:pPr>
              <w:autoSpaceDE w:val="0"/>
              <w:autoSpaceDN w:val="0"/>
              <w:adjustRightInd w:val="0"/>
              <w:snapToGrid w:val="0"/>
              <w:ind w:firstLine="480" w:firstLineChars="200"/>
              <w:rPr>
                <w:color w:val="auto"/>
                <w:sz w:val="24"/>
                <w:szCs w:val="24"/>
              </w:rPr>
            </w:pPr>
            <w:r>
              <w:rPr>
                <w:rFonts w:hint="eastAsia"/>
                <w:color w:val="auto"/>
                <w:sz w:val="24"/>
                <w:szCs w:val="24"/>
              </w:rPr>
              <w:t>根据关于印发《江阴市镇（街）工业园区四至范围》的通知（澄工改办〔2022〕1号）：</w:t>
            </w:r>
          </w:p>
          <w:p w14:paraId="62C7AB36">
            <w:pPr>
              <w:autoSpaceDE w:val="0"/>
              <w:autoSpaceDN w:val="0"/>
              <w:adjustRightInd w:val="0"/>
              <w:snapToGrid w:val="0"/>
              <w:ind w:firstLine="482" w:firstLineChars="200"/>
              <w:rPr>
                <w:color w:val="auto"/>
                <w:sz w:val="24"/>
                <w:szCs w:val="24"/>
              </w:rPr>
            </w:pPr>
            <w:r>
              <w:rPr>
                <w:rFonts w:hint="eastAsia"/>
                <w:b/>
                <w:bCs/>
                <w:color w:val="auto"/>
                <w:sz w:val="24"/>
                <w:szCs w:val="24"/>
              </w:rPr>
              <w:t>重点工业园区：</w:t>
            </w:r>
            <w:r>
              <w:rPr>
                <w:rFonts w:hint="eastAsia"/>
                <w:color w:val="auto"/>
                <w:sz w:val="24"/>
                <w:szCs w:val="24"/>
              </w:rPr>
              <w:t>东至光辉路、东风路、砂山大道，西至世纪大道、张家港河，南至永昌河、清溪河，北至庙墩路、芙蓉大道。</w:t>
            </w:r>
          </w:p>
          <w:p w14:paraId="2100328D">
            <w:pPr>
              <w:autoSpaceDE w:val="0"/>
              <w:autoSpaceDN w:val="0"/>
              <w:adjustRightInd w:val="0"/>
              <w:snapToGrid w:val="0"/>
              <w:ind w:firstLine="482" w:firstLineChars="200"/>
              <w:rPr>
                <w:color w:val="auto"/>
                <w:sz w:val="24"/>
                <w:szCs w:val="24"/>
              </w:rPr>
            </w:pPr>
            <w:r>
              <w:rPr>
                <w:rFonts w:hint="eastAsia"/>
                <w:b/>
                <w:bCs/>
                <w:color w:val="auto"/>
                <w:sz w:val="24"/>
                <w:szCs w:val="24"/>
              </w:rPr>
              <w:t>重点工业园区</w:t>
            </w:r>
            <w:r>
              <w:rPr>
                <w:rFonts w:hint="eastAsia"/>
                <w:color w:val="auto"/>
                <w:sz w:val="24"/>
                <w:szCs w:val="24"/>
              </w:rPr>
              <w:t>：东至周西路、世纪大道，西至应天河、规划道路，南至江阴大道，北至那巷路、小河浜、规划道路（老澄杨路）、澄鹿路。</w:t>
            </w:r>
          </w:p>
          <w:p w14:paraId="1FA00F56">
            <w:pPr>
              <w:autoSpaceDE w:val="0"/>
              <w:autoSpaceDN w:val="0"/>
              <w:adjustRightInd w:val="0"/>
              <w:snapToGrid w:val="0"/>
              <w:ind w:firstLine="482" w:firstLineChars="200"/>
              <w:rPr>
                <w:color w:val="auto"/>
                <w:sz w:val="24"/>
                <w:szCs w:val="24"/>
              </w:rPr>
            </w:pPr>
            <w:r>
              <w:rPr>
                <w:rFonts w:hint="eastAsia"/>
                <w:b/>
                <w:bCs/>
                <w:color w:val="auto"/>
                <w:sz w:val="24"/>
                <w:szCs w:val="24"/>
              </w:rPr>
              <w:t>重点工业园区：</w:t>
            </w:r>
            <w:r>
              <w:rPr>
                <w:rFonts w:hint="eastAsia"/>
                <w:color w:val="auto"/>
                <w:sz w:val="24"/>
                <w:szCs w:val="24"/>
              </w:rPr>
              <w:t>海煌纺织及德古铸造用地东界、长青路、砂山大道延伸段、万事兴汽车部件制造用地南界、高压走廊、万事兴汽车部件制造用地北界及东界、澄杨路、山泉路、张家港河、应天河、葫芦浜、运伦路、常合高速、长寿河、海伦路、化工路、现状用地北界、长寿河、应天河、周长路、澄杨路、张家港河、龙东路围合区域。</w:t>
            </w:r>
          </w:p>
          <w:p w14:paraId="5A790DFD">
            <w:pPr>
              <w:autoSpaceDE w:val="0"/>
              <w:autoSpaceDN w:val="0"/>
              <w:adjustRightInd w:val="0"/>
              <w:snapToGrid w:val="0"/>
              <w:ind w:firstLine="482" w:firstLineChars="200"/>
              <w:rPr>
                <w:color w:val="auto"/>
                <w:sz w:val="24"/>
                <w:szCs w:val="24"/>
              </w:rPr>
            </w:pPr>
            <w:r>
              <w:rPr>
                <w:rFonts w:hint="eastAsia"/>
                <w:b/>
                <w:bCs/>
                <w:color w:val="auto"/>
                <w:sz w:val="24"/>
                <w:szCs w:val="24"/>
              </w:rPr>
              <w:t>特色工业园区：</w:t>
            </w:r>
            <w:r>
              <w:rPr>
                <w:rFonts w:hint="eastAsia"/>
                <w:color w:val="auto"/>
                <w:sz w:val="24"/>
                <w:szCs w:val="24"/>
              </w:rPr>
              <w:t>东至规划道路，西至云顾路、规划道路，南至红卫浜，北</w:t>
            </w:r>
            <w:r>
              <w:rPr>
                <w:rFonts w:hint="eastAsia"/>
                <w:color w:val="auto"/>
              </w:rPr>
              <w:t>至</w:t>
            </w:r>
            <w:r>
              <w:rPr>
                <w:rFonts w:hint="eastAsia"/>
                <w:color w:val="auto"/>
                <w:sz w:val="24"/>
                <w:szCs w:val="24"/>
              </w:rPr>
              <w:t>长乐路。</w:t>
            </w:r>
          </w:p>
          <w:p w14:paraId="711A8224">
            <w:pPr>
              <w:autoSpaceDE w:val="0"/>
              <w:autoSpaceDN w:val="0"/>
              <w:adjustRightInd w:val="0"/>
              <w:snapToGrid w:val="0"/>
              <w:ind w:firstLine="480" w:firstLineChars="200"/>
              <w:rPr>
                <w:color w:val="auto"/>
                <w:sz w:val="24"/>
                <w:szCs w:val="24"/>
              </w:rPr>
            </w:pPr>
            <w:r>
              <w:rPr>
                <w:rFonts w:hint="eastAsia"/>
                <w:color w:val="auto"/>
                <w:sz w:val="24"/>
                <w:szCs w:val="24"/>
              </w:rPr>
              <w:t>本项目建设地位于</w:t>
            </w:r>
            <w:r>
              <w:rPr>
                <w:color w:val="auto"/>
                <w:sz w:val="24"/>
                <w:szCs w:val="24"/>
              </w:rPr>
              <w:t>江阴市周庄镇澄杨路1507号</w:t>
            </w:r>
            <w:r>
              <w:rPr>
                <w:rFonts w:hint="eastAsia"/>
                <w:color w:val="auto"/>
                <w:sz w:val="24"/>
                <w:szCs w:val="24"/>
              </w:rPr>
              <w:t>，位于工改后的重点工业园区范围内。</w:t>
            </w:r>
          </w:p>
          <w:p w14:paraId="20FF9A1D">
            <w:pPr>
              <w:adjustRightInd w:val="0"/>
              <w:snapToGrid w:val="0"/>
              <w:ind w:firstLine="482" w:firstLineChars="200"/>
              <w:rPr>
                <w:b/>
                <w:bCs/>
                <w:color w:val="auto"/>
                <w:kern w:val="0"/>
                <w:sz w:val="24"/>
                <w:szCs w:val="24"/>
              </w:rPr>
            </w:pPr>
            <w:r>
              <w:rPr>
                <w:rFonts w:hint="eastAsia"/>
                <w:b/>
                <w:bCs/>
                <w:color w:val="auto"/>
                <w:kern w:val="0"/>
                <w:sz w:val="24"/>
                <w:szCs w:val="24"/>
              </w:rPr>
              <w:t>（2）产业定位及发展模式</w:t>
            </w:r>
          </w:p>
          <w:p w14:paraId="08C807E8">
            <w:pPr>
              <w:autoSpaceDE w:val="0"/>
              <w:autoSpaceDN w:val="0"/>
              <w:adjustRightInd w:val="0"/>
              <w:snapToGrid w:val="0"/>
              <w:ind w:firstLine="480" w:firstLineChars="200"/>
              <w:rPr>
                <w:color w:val="auto"/>
                <w:sz w:val="24"/>
                <w:szCs w:val="24"/>
              </w:rPr>
            </w:pPr>
            <w:r>
              <w:rPr>
                <w:rFonts w:hint="eastAsia"/>
                <w:color w:val="auto"/>
                <w:sz w:val="24"/>
                <w:szCs w:val="24"/>
              </w:rPr>
              <w:t>根据关于印发《江阴市工业园区产业定位实施方案》的通知（澄工改办〔2022〕7号）中的产业布局：新桥重点发展高端品牌服装及高档面料，华士、周庄、长泾、顾山、祝塘等区域提升发展先进纺织材料、织造印染以及功能性服装。本项目主要从事对基布进行数码热转移印花生产，因此符合周庄镇工业园区的产业定位。</w:t>
            </w:r>
          </w:p>
          <w:p w14:paraId="7CE3F9B0">
            <w:pPr>
              <w:adjustRightInd w:val="0"/>
              <w:snapToGrid w:val="0"/>
              <w:ind w:firstLine="482" w:firstLineChars="200"/>
              <w:rPr>
                <w:b/>
                <w:bCs/>
                <w:color w:val="auto"/>
              </w:rPr>
            </w:pPr>
            <w:r>
              <w:rPr>
                <w:b/>
                <w:bCs/>
                <w:color w:val="auto"/>
                <w:sz w:val="24"/>
                <w:szCs w:val="24"/>
              </w:rPr>
              <w:t>（</w:t>
            </w:r>
            <w:r>
              <w:rPr>
                <w:rFonts w:hint="eastAsia"/>
                <w:b/>
                <w:bCs/>
                <w:color w:val="auto"/>
                <w:sz w:val="24"/>
                <w:szCs w:val="24"/>
              </w:rPr>
              <w:t>3</w:t>
            </w:r>
            <w:r>
              <w:rPr>
                <w:b/>
                <w:bCs/>
                <w:color w:val="auto"/>
                <w:sz w:val="24"/>
                <w:szCs w:val="24"/>
              </w:rPr>
              <w:t>）</w:t>
            </w:r>
            <w:r>
              <w:rPr>
                <w:rFonts w:hint="eastAsia"/>
                <w:b/>
                <w:bCs/>
                <w:color w:val="auto"/>
                <w:kern w:val="0"/>
                <w:sz w:val="24"/>
              </w:rPr>
              <w:t>土地利用规划相符性</w:t>
            </w:r>
          </w:p>
          <w:p w14:paraId="50EECDCC">
            <w:pPr>
              <w:autoSpaceDE w:val="0"/>
              <w:autoSpaceDN w:val="0"/>
              <w:adjustRightInd w:val="0"/>
              <w:snapToGrid w:val="0"/>
              <w:ind w:firstLine="480" w:firstLineChars="200"/>
              <w:rPr>
                <w:color w:val="auto"/>
                <w:sz w:val="24"/>
                <w:szCs w:val="24"/>
              </w:rPr>
            </w:pPr>
            <w:r>
              <w:rPr>
                <w:rFonts w:hint="eastAsia"/>
                <w:color w:val="auto"/>
                <w:sz w:val="24"/>
                <w:szCs w:val="24"/>
              </w:rPr>
              <w:t>根据《江阴市周庄镇工业园区详细规划及城市设计》中的土地使用规划图，该地块属于二类工业用地，故本项目的建设符合用地规划要求。</w:t>
            </w:r>
          </w:p>
          <w:p w14:paraId="170897AB">
            <w:pPr>
              <w:pStyle w:val="16"/>
              <w:ind w:firstLine="482" w:firstLineChars="200"/>
              <w:jc w:val="both"/>
              <w:rPr>
                <w:b/>
                <w:bCs/>
                <w:color w:val="auto"/>
                <w:sz w:val="24"/>
              </w:rPr>
            </w:pPr>
            <w:r>
              <w:rPr>
                <w:b/>
                <w:bCs/>
                <w:color w:val="auto"/>
                <w:sz w:val="24"/>
              </w:rPr>
              <w:t>（</w:t>
            </w:r>
            <w:r>
              <w:rPr>
                <w:rFonts w:hint="eastAsia"/>
                <w:b/>
                <w:bCs/>
                <w:color w:val="auto"/>
                <w:sz w:val="24"/>
                <w:lang w:val="en-US" w:eastAsia="zh-CN"/>
              </w:rPr>
              <w:t>4</w:t>
            </w:r>
            <w:r>
              <w:rPr>
                <w:b/>
                <w:bCs/>
                <w:color w:val="auto"/>
                <w:sz w:val="24"/>
              </w:rPr>
              <w:t>）</w:t>
            </w:r>
            <w:r>
              <w:rPr>
                <w:rFonts w:hint="eastAsia"/>
                <w:b/>
                <w:bCs/>
                <w:color w:val="auto"/>
                <w:sz w:val="24"/>
              </w:rPr>
              <w:t>环境保护规划相符性</w:t>
            </w:r>
          </w:p>
          <w:p w14:paraId="3FAF4381">
            <w:pPr>
              <w:pStyle w:val="16"/>
              <w:adjustRightInd w:val="0"/>
              <w:ind w:firstLine="480" w:firstLineChars="200"/>
              <w:jc w:val="both"/>
              <w:rPr>
                <w:color w:val="auto"/>
                <w:sz w:val="24"/>
              </w:rPr>
            </w:pPr>
            <w:r>
              <w:rPr>
                <w:rFonts w:hint="eastAsia"/>
                <w:color w:val="auto"/>
                <w:sz w:val="24"/>
              </w:rPr>
              <w:t>项目建设地污水管网已接通，本项目生活污水经化粪池处理后接管至</w:t>
            </w:r>
            <w:r>
              <w:rPr>
                <w:color w:val="auto"/>
                <w:sz w:val="24"/>
              </w:rPr>
              <w:t>江阴市山泉污水处理厂</w:t>
            </w:r>
            <w:r>
              <w:rPr>
                <w:rFonts w:hint="eastAsia"/>
                <w:color w:val="auto"/>
                <w:sz w:val="24"/>
              </w:rPr>
              <w:t>集中处置，不新增废水排污口，故该项目的建设符合建设地环保规划。</w:t>
            </w:r>
          </w:p>
          <w:p w14:paraId="41BD712C">
            <w:pPr>
              <w:pStyle w:val="16"/>
              <w:ind w:firstLine="482" w:firstLineChars="200"/>
              <w:jc w:val="both"/>
              <w:rPr>
                <w:b/>
                <w:bCs/>
                <w:color w:val="auto"/>
                <w:sz w:val="24"/>
              </w:rPr>
            </w:pPr>
            <w:r>
              <w:rPr>
                <w:rFonts w:hint="eastAsia"/>
                <w:b/>
                <w:bCs/>
                <w:color w:val="auto"/>
                <w:sz w:val="24"/>
              </w:rPr>
              <w:t>（</w:t>
            </w:r>
            <w:r>
              <w:rPr>
                <w:rFonts w:hint="eastAsia"/>
                <w:b/>
                <w:bCs/>
                <w:color w:val="auto"/>
                <w:sz w:val="24"/>
                <w:lang w:val="en-US" w:eastAsia="zh-CN"/>
              </w:rPr>
              <w:t>5</w:t>
            </w:r>
            <w:r>
              <w:rPr>
                <w:rFonts w:hint="eastAsia"/>
                <w:b/>
                <w:bCs/>
                <w:color w:val="auto"/>
                <w:sz w:val="24"/>
              </w:rPr>
              <w:t>）与江阴市三区三线规划相符性</w:t>
            </w:r>
          </w:p>
          <w:p w14:paraId="1BAB7F80">
            <w:pPr>
              <w:autoSpaceDE w:val="0"/>
              <w:autoSpaceDN w:val="0"/>
              <w:adjustRightInd w:val="0"/>
              <w:snapToGrid w:val="0"/>
              <w:ind w:firstLine="480" w:firstLineChars="200"/>
              <w:rPr>
                <w:color w:val="auto"/>
                <w:kern w:val="0"/>
                <w:sz w:val="24"/>
                <w:szCs w:val="24"/>
                <w:lang w:bidi="ar"/>
              </w:rPr>
            </w:pPr>
            <w:r>
              <w:rPr>
                <w:rFonts w:hint="eastAsia"/>
                <w:color w:val="auto"/>
                <w:sz w:val="24"/>
              </w:rPr>
              <w:t>“三区三线”是指城镇空间、农业空间、生态空间以及城镇开发边界红线、永久基本农田红线、生态保护红线。对照《江阴市国土空间总体规划》（2021-2035）的要求，项目位于城镇空间及城镇开发边界内，不在划定的农业空间、生态空间，耕地和永久基本农田、生态保护红线内，符合“三区三线”规划要求。</w:t>
            </w:r>
          </w:p>
        </w:tc>
      </w:tr>
    </w:tbl>
    <w:p w14:paraId="0A308C66">
      <w:pPr>
        <w:jc w:val="center"/>
        <w:rPr>
          <w:color w:val="auto"/>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0386D131">
      <w:pPr>
        <w:pStyle w:val="21"/>
        <w:spacing w:line="240" w:lineRule="auto"/>
        <w:jc w:val="center"/>
        <w:outlineLvl w:val="0"/>
        <w:rPr>
          <w:rFonts w:ascii="Times New Roman" w:hAnsi="Times New Roman" w:eastAsia="黑体"/>
          <w:snapToGrid w:val="0"/>
          <w:color w:val="auto"/>
          <w:kern w:val="0"/>
          <w:sz w:val="30"/>
          <w:szCs w:val="30"/>
        </w:rPr>
      </w:pPr>
      <w:r>
        <w:rPr>
          <w:rFonts w:ascii="Times New Roman" w:hAnsi="Times New Roman" w:eastAsia="黑体"/>
          <w:snapToGrid w:val="0"/>
          <w:color w:val="auto"/>
          <w:kern w:val="0"/>
          <w:sz w:val="30"/>
          <w:szCs w:val="30"/>
        </w:rPr>
        <w:t>二、建设项目工程分析</w:t>
      </w:r>
    </w:p>
    <w:tbl>
      <w:tblPr>
        <w:tblStyle w:val="26"/>
        <w:tblW w:w="92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38"/>
        <w:gridCol w:w="8475"/>
      </w:tblGrid>
      <w:tr w14:paraId="6FC039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14" w:hRule="atLeast"/>
          <w:jc w:val="center"/>
        </w:trPr>
        <w:tc>
          <w:tcPr>
            <w:tcW w:w="738" w:type="dxa"/>
            <w:vAlign w:val="center"/>
          </w:tcPr>
          <w:p w14:paraId="6613F7C0">
            <w:pPr>
              <w:pStyle w:val="21"/>
              <w:adjustRightInd w:val="0"/>
              <w:snapToGrid w:val="0"/>
              <w:spacing w:before="0" w:beforeAutospacing="0" w:after="0" w:afterAutospacing="0"/>
              <w:jc w:val="center"/>
              <w:rPr>
                <w:rFonts w:ascii="Times New Roman" w:hAnsi="Times New Roman"/>
                <w:color w:val="auto"/>
                <w:sz w:val="21"/>
                <w:szCs w:val="21"/>
              </w:rPr>
            </w:pPr>
            <w:r>
              <w:rPr>
                <w:rFonts w:ascii="Times New Roman" w:hAnsi="Times New Roman"/>
                <w:color w:val="auto"/>
                <w:sz w:val="21"/>
                <w:szCs w:val="21"/>
              </w:rPr>
              <w:t>建设内容</w:t>
            </w:r>
          </w:p>
        </w:tc>
        <w:tc>
          <w:tcPr>
            <w:tcW w:w="8475" w:type="dxa"/>
          </w:tcPr>
          <w:p w14:paraId="27146E5F">
            <w:pPr>
              <w:spacing w:line="460" w:lineRule="exact"/>
              <w:rPr>
                <w:b/>
                <w:bCs/>
                <w:color w:val="auto"/>
                <w:sz w:val="24"/>
                <w:szCs w:val="24"/>
              </w:rPr>
            </w:pPr>
            <w:r>
              <w:rPr>
                <w:b/>
                <w:bCs/>
                <w:color w:val="auto"/>
                <w:sz w:val="24"/>
                <w:szCs w:val="24"/>
              </w:rPr>
              <w:t>1、项目概况</w:t>
            </w:r>
          </w:p>
          <w:p w14:paraId="55DB0262">
            <w:pPr>
              <w:snapToGrid w:val="0"/>
              <w:spacing w:line="460" w:lineRule="exact"/>
              <w:ind w:firstLine="480" w:firstLineChars="200"/>
              <w:rPr>
                <w:color w:val="auto"/>
                <w:sz w:val="24"/>
                <w:szCs w:val="24"/>
              </w:rPr>
            </w:pPr>
            <w:r>
              <w:rPr>
                <w:color w:val="auto"/>
                <w:sz w:val="24"/>
                <w:szCs w:val="24"/>
              </w:rPr>
              <w:t>江阴市万超国际贸易有限公司成立于2006年11月14日，主要从事合成纤维及针纺织品销售，企业至今尚未从事生产经营活动。现拟在江阴市周庄镇澄杨路1507号，租用江阴龙利达人造革有限公司600</w:t>
            </w:r>
            <w:r>
              <w:rPr>
                <w:rFonts w:hint="eastAsia"/>
                <w:color w:val="auto"/>
                <w:sz w:val="24"/>
                <w:szCs w:val="24"/>
              </w:rPr>
              <w:t>m</w:t>
            </w:r>
            <w:r>
              <w:rPr>
                <w:rFonts w:hint="eastAsia"/>
                <w:color w:val="auto"/>
                <w:sz w:val="24"/>
                <w:szCs w:val="24"/>
                <w:vertAlign w:val="superscript"/>
              </w:rPr>
              <w:t>2</w:t>
            </w:r>
            <w:r>
              <w:rPr>
                <w:color w:val="auto"/>
                <w:sz w:val="24"/>
                <w:szCs w:val="24"/>
              </w:rPr>
              <w:t>闲置厂房</w:t>
            </w:r>
            <w:r>
              <w:rPr>
                <w:bCs/>
                <w:color w:val="auto"/>
                <w:sz w:val="24"/>
                <w:szCs w:val="24"/>
              </w:rPr>
              <w:t>，</w:t>
            </w:r>
            <w:r>
              <w:rPr>
                <w:color w:val="auto"/>
                <w:sz w:val="24"/>
                <w:szCs w:val="24"/>
              </w:rPr>
              <w:t>新购置国产</w:t>
            </w:r>
            <w:r>
              <w:rPr>
                <w:bCs/>
                <w:color w:val="auto"/>
                <w:sz w:val="24"/>
                <w:szCs w:val="24"/>
              </w:rPr>
              <w:t>热</w:t>
            </w:r>
            <w:r>
              <w:rPr>
                <w:color w:val="auto"/>
                <w:sz w:val="24"/>
                <w:szCs w:val="24"/>
              </w:rPr>
              <w:t>转移印花机</w:t>
            </w:r>
            <w:r>
              <w:rPr>
                <w:rFonts w:hint="eastAsia"/>
                <w:color w:val="auto"/>
                <w:sz w:val="24"/>
                <w:szCs w:val="24"/>
              </w:rPr>
              <w:t>2</w:t>
            </w:r>
            <w:r>
              <w:rPr>
                <w:color w:val="auto"/>
                <w:sz w:val="24"/>
                <w:szCs w:val="24"/>
              </w:rPr>
              <w:t>台、数码打印机</w:t>
            </w:r>
            <w:r>
              <w:rPr>
                <w:rFonts w:hint="eastAsia"/>
                <w:color w:val="auto"/>
                <w:sz w:val="24"/>
                <w:szCs w:val="24"/>
              </w:rPr>
              <w:t>4</w:t>
            </w:r>
            <w:r>
              <w:rPr>
                <w:color w:val="auto"/>
                <w:sz w:val="24"/>
                <w:szCs w:val="24"/>
              </w:rPr>
              <w:t>台等设备</w:t>
            </w:r>
            <w:r>
              <w:rPr>
                <w:rFonts w:hint="eastAsia"/>
                <w:color w:val="auto"/>
                <w:sz w:val="24"/>
                <w:szCs w:val="24"/>
              </w:rPr>
              <w:t>共计6</w:t>
            </w:r>
            <w:r>
              <w:rPr>
                <w:color w:val="auto"/>
                <w:sz w:val="24"/>
                <w:szCs w:val="24"/>
              </w:rPr>
              <w:t>台</w:t>
            </w:r>
            <w:r>
              <w:rPr>
                <w:rFonts w:hint="eastAsia"/>
                <w:color w:val="auto"/>
                <w:sz w:val="24"/>
                <w:szCs w:val="24"/>
              </w:rPr>
              <w:t>（</w:t>
            </w:r>
            <w:r>
              <w:rPr>
                <w:color w:val="auto"/>
                <w:sz w:val="24"/>
                <w:szCs w:val="24"/>
              </w:rPr>
              <w:t>套</w:t>
            </w:r>
            <w:r>
              <w:rPr>
                <w:rFonts w:hint="eastAsia"/>
                <w:color w:val="auto"/>
                <w:sz w:val="24"/>
                <w:szCs w:val="24"/>
              </w:rPr>
              <w:t>）</w:t>
            </w:r>
            <w:r>
              <w:rPr>
                <w:color w:val="auto"/>
                <w:sz w:val="24"/>
                <w:szCs w:val="24"/>
              </w:rPr>
              <w:t>，从事基布的数码热转移印花生产。项目投产后，将实现年</w:t>
            </w:r>
            <w:r>
              <w:rPr>
                <w:rFonts w:hint="eastAsia"/>
                <w:color w:val="auto"/>
                <w:sz w:val="24"/>
                <w:szCs w:val="24"/>
                <w:lang w:val="en-US" w:eastAsia="zh-CN"/>
              </w:rPr>
              <w:t>产</w:t>
            </w:r>
            <w:r>
              <w:rPr>
                <w:color w:val="auto"/>
                <w:sz w:val="24"/>
                <w:szCs w:val="24"/>
              </w:rPr>
              <w:t>数码热转移印花</w:t>
            </w:r>
            <w:r>
              <w:rPr>
                <w:rFonts w:hint="eastAsia"/>
                <w:color w:val="auto"/>
                <w:sz w:val="24"/>
                <w:szCs w:val="24"/>
                <w:lang w:val="en-US" w:eastAsia="zh-CN"/>
              </w:rPr>
              <w:t>基布</w:t>
            </w:r>
            <w:r>
              <w:rPr>
                <w:rFonts w:hint="eastAsia"/>
                <w:color w:val="auto"/>
                <w:sz w:val="24"/>
                <w:szCs w:val="24"/>
              </w:rPr>
              <w:t>400</w:t>
            </w:r>
            <w:r>
              <w:rPr>
                <w:color w:val="auto"/>
                <w:sz w:val="24"/>
                <w:szCs w:val="24"/>
              </w:rPr>
              <w:t>万平方</w:t>
            </w:r>
            <w:r>
              <w:rPr>
                <w:rFonts w:hint="eastAsia"/>
                <w:color w:val="auto"/>
                <w:sz w:val="24"/>
                <w:szCs w:val="24"/>
              </w:rPr>
              <w:t>米</w:t>
            </w:r>
            <w:r>
              <w:rPr>
                <w:color w:val="auto"/>
                <w:sz w:val="24"/>
                <w:szCs w:val="24"/>
              </w:rPr>
              <w:t>的生产能力。</w:t>
            </w:r>
          </w:p>
          <w:p w14:paraId="4DF75B91">
            <w:pPr>
              <w:snapToGrid w:val="0"/>
              <w:spacing w:line="460" w:lineRule="exact"/>
              <w:ind w:firstLine="480" w:firstLineChars="200"/>
              <w:rPr>
                <w:color w:val="auto"/>
                <w:sz w:val="24"/>
                <w:szCs w:val="24"/>
              </w:rPr>
            </w:pPr>
            <w:r>
              <w:rPr>
                <w:color w:val="auto"/>
                <w:sz w:val="24"/>
                <w:szCs w:val="24"/>
              </w:rPr>
              <w:t>根据《中华人民共和国环境保护法》、《建设项目环境保护管理条例》，建设过程中或者建成投产后可能对环境产生影响的新建、扩建、改建、迁建、技术改造项目及区域开发建设项目，必须进行环境影响评价。根据《建设项目环境影响评价分类管理名录》（2021年版），本项目属于“十四、纺织业17中28</w:t>
            </w:r>
            <w:r>
              <w:rPr>
                <w:rFonts w:hint="eastAsia"/>
                <w:color w:val="auto"/>
                <w:sz w:val="24"/>
                <w:szCs w:val="24"/>
              </w:rPr>
              <w:t>化纤织造印染精加工175*</w:t>
            </w:r>
            <w:r>
              <w:rPr>
                <w:color w:val="auto"/>
                <w:sz w:val="24"/>
                <w:szCs w:val="24"/>
              </w:rPr>
              <w:t>”应该编制环境影响报告表。</w:t>
            </w:r>
          </w:p>
          <w:p w14:paraId="2580AE15">
            <w:pPr>
              <w:snapToGrid w:val="0"/>
              <w:spacing w:line="460" w:lineRule="exact"/>
              <w:ind w:firstLine="480" w:firstLineChars="200"/>
              <w:rPr>
                <w:color w:val="auto"/>
                <w:sz w:val="24"/>
                <w:szCs w:val="24"/>
              </w:rPr>
            </w:pPr>
            <w:r>
              <w:rPr>
                <w:color w:val="auto"/>
                <w:sz w:val="24"/>
                <w:szCs w:val="24"/>
              </w:rPr>
              <w:t>为此，江阴市万超国际贸易有限公司委托</w:t>
            </w:r>
            <w:r>
              <w:rPr>
                <w:bCs/>
                <w:color w:val="auto"/>
                <w:sz w:val="24"/>
                <w:szCs w:val="24"/>
              </w:rPr>
              <w:t>南京师大环境科技研究院有限公司</w:t>
            </w:r>
            <w:r>
              <w:rPr>
                <w:color w:val="auto"/>
                <w:sz w:val="24"/>
                <w:szCs w:val="24"/>
              </w:rPr>
              <w:t>对该项目进行环境影响评价工作。</w:t>
            </w:r>
            <w:r>
              <w:rPr>
                <w:bCs/>
                <w:color w:val="auto"/>
                <w:sz w:val="24"/>
                <w:szCs w:val="24"/>
              </w:rPr>
              <w:t>南京师大环境科技研究院有限公司</w:t>
            </w:r>
            <w:r>
              <w:rPr>
                <w:color w:val="auto"/>
                <w:sz w:val="24"/>
                <w:szCs w:val="24"/>
              </w:rPr>
              <w:t>接受我公司委托后，进行了实地踏勘和资料收集，在工程分析的基础上，编制了本环境影响报告表。</w:t>
            </w:r>
          </w:p>
          <w:p w14:paraId="54A31E64">
            <w:pPr>
              <w:snapToGrid w:val="0"/>
              <w:spacing w:line="460" w:lineRule="exact"/>
              <w:ind w:firstLine="480" w:firstLineChars="200"/>
              <w:rPr>
                <w:color w:val="auto"/>
                <w:sz w:val="24"/>
                <w:szCs w:val="24"/>
              </w:rPr>
            </w:pPr>
            <w:r>
              <w:rPr>
                <w:color w:val="auto"/>
                <w:sz w:val="24"/>
                <w:szCs w:val="24"/>
              </w:rPr>
              <w:t>本项目所涉及的消防、安全和卫生问题不属于本评价范围，公司按照国家有关法律、法规和相关标准执行。</w:t>
            </w:r>
          </w:p>
          <w:p w14:paraId="10D1B61A">
            <w:pPr>
              <w:spacing w:line="460" w:lineRule="exact"/>
              <w:rPr>
                <w:b/>
                <w:bCs/>
                <w:color w:val="auto"/>
                <w:sz w:val="24"/>
                <w:szCs w:val="24"/>
              </w:rPr>
            </w:pPr>
            <w:r>
              <w:rPr>
                <w:b/>
                <w:bCs/>
                <w:color w:val="auto"/>
                <w:sz w:val="24"/>
                <w:szCs w:val="24"/>
              </w:rPr>
              <w:t>2、</w:t>
            </w:r>
            <w:r>
              <w:rPr>
                <w:rFonts w:hint="eastAsia"/>
                <w:b/>
                <w:bCs/>
                <w:color w:val="auto"/>
                <w:sz w:val="24"/>
                <w:szCs w:val="24"/>
              </w:rPr>
              <w:t>工程内容及规模</w:t>
            </w:r>
          </w:p>
          <w:p w14:paraId="5843B9C4">
            <w:pPr>
              <w:spacing w:line="460" w:lineRule="exact"/>
              <w:ind w:firstLine="480" w:firstLineChars="200"/>
              <w:rPr>
                <w:color w:val="auto"/>
              </w:rPr>
            </w:pPr>
            <w:r>
              <w:rPr>
                <w:color w:val="auto"/>
                <w:sz w:val="24"/>
              </w:rPr>
              <w:t>本项目利用租用厂房进行建设，项目主体工程主要为新增设备的购置、安装和调试等环节；公用工程和辅助工程包括贮运工程、环保工程和其它配套工程的完善建设。建设项目主体工程和产品方案见表2-1。</w:t>
            </w:r>
          </w:p>
          <w:p w14:paraId="393A887E">
            <w:pPr>
              <w:spacing w:line="460" w:lineRule="exact"/>
              <w:ind w:firstLine="482" w:firstLineChars="200"/>
              <w:jc w:val="center"/>
              <w:rPr>
                <w:b/>
                <w:bCs/>
                <w:color w:val="auto"/>
                <w:sz w:val="24"/>
              </w:rPr>
            </w:pPr>
            <w:r>
              <w:rPr>
                <w:b/>
                <w:bCs/>
                <w:color w:val="auto"/>
                <w:sz w:val="24"/>
              </w:rPr>
              <w:t>表2-1建设项目主体工程及产品方案</w:t>
            </w:r>
          </w:p>
          <w:tbl>
            <w:tblPr>
              <w:tblStyle w:val="26"/>
              <w:tblW w:w="4998"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227"/>
              <w:gridCol w:w="722"/>
              <w:gridCol w:w="2645"/>
              <w:gridCol w:w="1742"/>
              <w:gridCol w:w="1920"/>
            </w:tblGrid>
            <w:tr w14:paraId="678F1F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742" w:type="pct"/>
                  <w:tcBorders>
                    <w:tl2br w:val="nil"/>
                    <w:tr2bl w:val="nil"/>
                  </w:tcBorders>
                  <w:vAlign w:val="center"/>
                </w:tcPr>
                <w:p w14:paraId="15932005">
                  <w:pPr>
                    <w:pStyle w:val="41"/>
                    <w:rPr>
                      <w:color w:val="auto"/>
                    </w:rPr>
                  </w:pPr>
                  <w:r>
                    <w:rPr>
                      <w:color w:val="auto"/>
                    </w:rPr>
                    <w:t>工程名称（车间或生产线）</w:t>
                  </w:r>
                </w:p>
              </w:tc>
              <w:tc>
                <w:tcPr>
                  <w:tcW w:w="437" w:type="pct"/>
                  <w:tcBorders>
                    <w:tl2br w:val="nil"/>
                    <w:tr2bl w:val="nil"/>
                  </w:tcBorders>
                  <w:vAlign w:val="center"/>
                </w:tcPr>
                <w:p w14:paraId="484015EA">
                  <w:pPr>
                    <w:pStyle w:val="41"/>
                    <w:rPr>
                      <w:color w:val="auto"/>
                    </w:rPr>
                  </w:pPr>
                  <w:r>
                    <w:rPr>
                      <w:color w:val="auto"/>
                    </w:rPr>
                    <w:t>产品</w:t>
                  </w:r>
                </w:p>
                <w:p w14:paraId="5D959164">
                  <w:pPr>
                    <w:pStyle w:val="41"/>
                    <w:rPr>
                      <w:color w:val="auto"/>
                    </w:rPr>
                  </w:pPr>
                  <w:r>
                    <w:rPr>
                      <w:color w:val="auto"/>
                    </w:rPr>
                    <w:t>名称</w:t>
                  </w:r>
                </w:p>
              </w:tc>
              <w:tc>
                <w:tcPr>
                  <w:tcW w:w="1601" w:type="pct"/>
                  <w:tcBorders>
                    <w:tl2br w:val="nil"/>
                    <w:tr2bl w:val="nil"/>
                  </w:tcBorders>
                  <w:vAlign w:val="center"/>
                </w:tcPr>
                <w:p w14:paraId="4DF78BEF">
                  <w:pPr>
                    <w:pStyle w:val="41"/>
                    <w:rPr>
                      <w:color w:val="auto"/>
                    </w:rPr>
                  </w:pPr>
                  <w:r>
                    <w:rPr>
                      <w:color w:val="auto"/>
                    </w:rPr>
                    <w:t>规格</w:t>
                  </w:r>
                </w:p>
              </w:tc>
              <w:tc>
                <w:tcPr>
                  <w:tcW w:w="1054" w:type="pct"/>
                  <w:tcBorders>
                    <w:tl2br w:val="nil"/>
                    <w:tr2bl w:val="nil"/>
                  </w:tcBorders>
                  <w:vAlign w:val="center"/>
                </w:tcPr>
                <w:p w14:paraId="2CC02B2A">
                  <w:pPr>
                    <w:pStyle w:val="41"/>
                    <w:rPr>
                      <w:color w:val="auto"/>
                    </w:rPr>
                  </w:pPr>
                  <w:r>
                    <w:rPr>
                      <w:color w:val="auto"/>
                    </w:rPr>
                    <w:t>设计能力</w:t>
                  </w:r>
                </w:p>
                <w:p w14:paraId="6344ADD7">
                  <w:pPr>
                    <w:pStyle w:val="41"/>
                    <w:rPr>
                      <w:color w:val="auto"/>
                    </w:rPr>
                  </w:pPr>
                  <w:r>
                    <w:rPr>
                      <w:color w:val="auto"/>
                    </w:rPr>
                    <w:t>（万</w:t>
                  </w:r>
                  <w:r>
                    <w:rPr>
                      <w:rFonts w:hint="eastAsia"/>
                      <w:color w:val="auto"/>
                    </w:rPr>
                    <w:t>平方米</w:t>
                  </w:r>
                  <w:r>
                    <w:rPr>
                      <w:color w:val="auto"/>
                    </w:rPr>
                    <w:t>/年）</w:t>
                  </w:r>
                </w:p>
              </w:tc>
              <w:tc>
                <w:tcPr>
                  <w:tcW w:w="1162" w:type="pct"/>
                  <w:tcBorders>
                    <w:tl2br w:val="nil"/>
                    <w:tr2bl w:val="nil"/>
                  </w:tcBorders>
                  <w:vAlign w:val="center"/>
                </w:tcPr>
                <w:p w14:paraId="5CCE0B2A">
                  <w:pPr>
                    <w:pStyle w:val="41"/>
                    <w:rPr>
                      <w:color w:val="auto"/>
                    </w:rPr>
                  </w:pPr>
                  <w:r>
                    <w:rPr>
                      <w:color w:val="auto"/>
                    </w:rPr>
                    <w:t>年运行时数（h）</w:t>
                  </w:r>
                </w:p>
              </w:tc>
            </w:tr>
            <w:tr w14:paraId="584236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742" w:type="pct"/>
                  <w:tcBorders>
                    <w:tl2br w:val="nil"/>
                    <w:tr2bl w:val="nil"/>
                  </w:tcBorders>
                  <w:vAlign w:val="center"/>
                </w:tcPr>
                <w:p w14:paraId="78CA8BDD">
                  <w:pPr>
                    <w:pStyle w:val="41"/>
                    <w:rPr>
                      <w:color w:val="auto"/>
                    </w:rPr>
                  </w:pPr>
                  <w:r>
                    <w:rPr>
                      <w:color w:val="auto"/>
                    </w:rPr>
                    <w:t>生产车间</w:t>
                  </w:r>
                </w:p>
              </w:tc>
              <w:tc>
                <w:tcPr>
                  <w:tcW w:w="437" w:type="pct"/>
                  <w:tcBorders>
                    <w:tl2br w:val="nil"/>
                    <w:tr2bl w:val="nil"/>
                  </w:tcBorders>
                  <w:vAlign w:val="center"/>
                </w:tcPr>
                <w:p w14:paraId="0D649985">
                  <w:pPr>
                    <w:pStyle w:val="41"/>
                    <w:rPr>
                      <w:color w:val="auto"/>
                    </w:rPr>
                  </w:pPr>
                  <w:r>
                    <w:rPr>
                      <w:color w:val="auto"/>
                    </w:rPr>
                    <w:t>基布</w:t>
                  </w:r>
                </w:p>
              </w:tc>
              <w:tc>
                <w:tcPr>
                  <w:tcW w:w="1601" w:type="pct"/>
                  <w:tcBorders>
                    <w:tl2br w:val="nil"/>
                    <w:tr2bl w:val="nil"/>
                  </w:tcBorders>
                  <w:vAlign w:val="center"/>
                </w:tcPr>
                <w:p w14:paraId="67623D16">
                  <w:pPr>
                    <w:pStyle w:val="41"/>
                    <w:rPr>
                      <w:color w:val="auto"/>
                    </w:rPr>
                  </w:pPr>
                  <w:r>
                    <w:rPr>
                      <w:color w:val="auto"/>
                    </w:rPr>
                    <w:t>宽幅1.8米，</w:t>
                  </w:r>
                  <w:r>
                    <w:rPr>
                      <w:rFonts w:hint="eastAsia"/>
                      <w:color w:val="auto"/>
                    </w:rPr>
                    <w:t>140</w:t>
                  </w:r>
                  <w:r>
                    <w:rPr>
                      <w:color w:val="auto"/>
                    </w:rPr>
                    <w:t>g/m</w:t>
                  </w:r>
                  <w:r>
                    <w:rPr>
                      <w:rFonts w:hint="eastAsia"/>
                      <w:color w:val="auto"/>
                      <w:vertAlign w:val="superscript"/>
                    </w:rPr>
                    <w:t>2</w:t>
                  </w:r>
                </w:p>
              </w:tc>
              <w:tc>
                <w:tcPr>
                  <w:tcW w:w="1054" w:type="pct"/>
                  <w:tcBorders>
                    <w:tl2br w:val="nil"/>
                    <w:tr2bl w:val="nil"/>
                  </w:tcBorders>
                  <w:vAlign w:val="center"/>
                </w:tcPr>
                <w:p w14:paraId="3ECE508E">
                  <w:pPr>
                    <w:pStyle w:val="41"/>
                    <w:rPr>
                      <w:color w:val="auto"/>
                    </w:rPr>
                  </w:pPr>
                  <w:r>
                    <w:rPr>
                      <w:rFonts w:hint="eastAsia"/>
                      <w:color w:val="auto"/>
                    </w:rPr>
                    <w:t>400（560t/a）</w:t>
                  </w:r>
                </w:p>
              </w:tc>
              <w:tc>
                <w:tcPr>
                  <w:tcW w:w="1162" w:type="pct"/>
                  <w:tcBorders>
                    <w:tl2br w:val="nil"/>
                    <w:tr2bl w:val="nil"/>
                  </w:tcBorders>
                  <w:vAlign w:val="center"/>
                </w:tcPr>
                <w:p w14:paraId="0BF53014">
                  <w:pPr>
                    <w:pStyle w:val="41"/>
                    <w:rPr>
                      <w:color w:val="auto"/>
                    </w:rPr>
                  </w:pPr>
                  <w:r>
                    <w:rPr>
                      <w:rFonts w:hint="eastAsia"/>
                      <w:color w:val="auto"/>
                    </w:rPr>
                    <w:t>2400</w:t>
                  </w:r>
                </w:p>
              </w:tc>
            </w:tr>
          </w:tbl>
          <w:p w14:paraId="7F35626C">
            <w:pPr>
              <w:spacing w:line="460" w:lineRule="exact"/>
              <w:ind w:firstLine="482" w:firstLineChars="200"/>
              <w:jc w:val="center"/>
              <w:rPr>
                <w:b/>
                <w:bCs/>
                <w:color w:val="auto"/>
                <w:sz w:val="24"/>
              </w:rPr>
            </w:pPr>
          </w:p>
          <w:p w14:paraId="3E0DB714">
            <w:pPr>
              <w:spacing w:line="460" w:lineRule="exact"/>
              <w:ind w:firstLine="482" w:firstLineChars="200"/>
              <w:jc w:val="center"/>
              <w:rPr>
                <w:b/>
                <w:bCs/>
                <w:color w:val="auto"/>
                <w:sz w:val="24"/>
              </w:rPr>
            </w:pPr>
          </w:p>
          <w:p w14:paraId="2F355F32">
            <w:pPr>
              <w:spacing w:line="460" w:lineRule="exact"/>
              <w:ind w:firstLine="482" w:firstLineChars="200"/>
              <w:jc w:val="center"/>
              <w:rPr>
                <w:b/>
                <w:bCs/>
                <w:color w:val="auto"/>
                <w:sz w:val="24"/>
              </w:rPr>
            </w:pPr>
            <w:r>
              <w:rPr>
                <w:b/>
                <w:bCs/>
                <w:color w:val="auto"/>
                <w:sz w:val="24"/>
              </w:rPr>
              <w:t>表2-</w:t>
            </w:r>
            <w:r>
              <w:rPr>
                <w:rFonts w:hint="eastAsia"/>
                <w:b/>
                <w:bCs/>
                <w:color w:val="auto"/>
                <w:sz w:val="24"/>
              </w:rPr>
              <w:t>2</w:t>
            </w:r>
            <w:r>
              <w:rPr>
                <w:b/>
                <w:bCs/>
                <w:color w:val="auto"/>
                <w:sz w:val="24"/>
              </w:rPr>
              <w:t>建设项目公用和辅助工程</w:t>
            </w:r>
          </w:p>
          <w:tbl>
            <w:tblPr>
              <w:tblStyle w:val="26"/>
              <w:tblW w:w="499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30" w:type="dxa"/>
                <w:bottom w:w="0" w:type="dxa"/>
                <w:right w:w="30" w:type="dxa"/>
              </w:tblCellMar>
            </w:tblPr>
            <w:tblGrid>
              <w:gridCol w:w="1034"/>
              <w:gridCol w:w="513"/>
              <w:gridCol w:w="234"/>
              <w:gridCol w:w="747"/>
              <w:gridCol w:w="2458"/>
              <w:gridCol w:w="3167"/>
              <w:gridCol w:w="89"/>
            </w:tblGrid>
            <w:tr w14:paraId="1BF754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gridAfter w:val="1"/>
                <w:wAfter w:w="53" w:type="pct"/>
                <w:trHeight w:val="23" w:hRule="atLeast"/>
                <w:jc w:val="center"/>
              </w:trPr>
              <w:tc>
                <w:tcPr>
                  <w:tcW w:w="628" w:type="pct"/>
                  <w:tcBorders>
                    <w:tl2br w:val="nil"/>
                    <w:tr2bl w:val="nil"/>
                  </w:tcBorders>
                  <w:tcMar>
                    <w:top w:w="0" w:type="dxa"/>
                    <w:left w:w="28" w:type="dxa"/>
                    <w:bottom w:w="0" w:type="dxa"/>
                    <w:right w:w="28" w:type="dxa"/>
                  </w:tcMar>
                  <w:vAlign w:val="center"/>
                </w:tcPr>
                <w:p w14:paraId="2D91CE57">
                  <w:pPr>
                    <w:pStyle w:val="41"/>
                    <w:rPr>
                      <w:color w:val="auto"/>
                    </w:rPr>
                  </w:pPr>
                  <w:r>
                    <w:rPr>
                      <w:color w:val="auto"/>
                    </w:rPr>
                    <w:t>类别</w:t>
                  </w:r>
                </w:p>
              </w:tc>
              <w:tc>
                <w:tcPr>
                  <w:tcW w:w="906" w:type="pct"/>
                  <w:gridSpan w:val="3"/>
                  <w:tcBorders>
                    <w:tl2br w:val="nil"/>
                    <w:tr2bl w:val="nil"/>
                  </w:tcBorders>
                  <w:tcMar>
                    <w:top w:w="0" w:type="dxa"/>
                    <w:left w:w="28" w:type="dxa"/>
                    <w:bottom w:w="0" w:type="dxa"/>
                    <w:right w:w="28" w:type="dxa"/>
                  </w:tcMar>
                  <w:vAlign w:val="center"/>
                </w:tcPr>
                <w:p w14:paraId="4DA5BCE4">
                  <w:pPr>
                    <w:pStyle w:val="41"/>
                    <w:rPr>
                      <w:color w:val="auto"/>
                    </w:rPr>
                  </w:pPr>
                  <w:r>
                    <w:rPr>
                      <w:color w:val="auto"/>
                    </w:rPr>
                    <w:t>建设名称</w:t>
                  </w:r>
                </w:p>
              </w:tc>
              <w:tc>
                <w:tcPr>
                  <w:tcW w:w="1490" w:type="pct"/>
                  <w:tcBorders>
                    <w:tl2br w:val="nil"/>
                    <w:tr2bl w:val="nil"/>
                  </w:tcBorders>
                  <w:tcMar>
                    <w:top w:w="0" w:type="dxa"/>
                    <w:left w:w="28" w:type="dxa"/>
                    <w:bottom w:w="0" w:type="dxa"/>
                    <w:right w:w="28" w:type="dxa"/>
                  </w:tcMar>
                  <w:vAlign w:val="center"/>
                </w:tcPr>
                <w:p w14:paraId="6A4C5622">
                  <w:pPr>
                    <w:pStyle w:val="41"/>
                    <w:rPr>
                      <w:color w:val="auto"/>
                    </w:rPr>
                  </w:pPr>
                  <w:r>
                    <w:rPr>
                      <w:color w:val="auto"/>
                    </w:rPr>
                    <w:t>设计能力</w:t>
                  </w:r>
                </w:p>
              </w:tc>
              <w:tc>
                <w:tcPr>
                  <w:tcW w:w="1920" w:type="pct"/>
                  <w:tcBorders>
                    <w:tl2br w:val="nil"/>
                    <w:tr2bl w:val="nil"/>
                  </w:tcBorders>
                  <w:tcMar>
                    <w:top w:w="0" w:type="dxa"/>
                    <w:left w:w="28" w:type="dxa"/>
                    <w:bottom w:w="0" w:type="dxa"/>
                    <w:right w:w="28" w:type="dxa"/>
                  </w:tcMar>
                  <w:vAlign w:val="center"/>
                </w:tcPr>
                <w:p w14:paraId="0D91585B">
                  <w:pPr>
                    <w:pStyle w:val="41"/>
                    <w:rPr>
                      <w:color w:val="auto"/>
                    </w:rPr>
                  </w:pPr>
                  <w:r>
                    <w:rPr>
                      <w:color w:val="auto"/>
                    </w:rPr>
                    <w:t>备注</w:t>
                  </w:r>
                </w:p>
              </w:tc>
            </w:tr>
            <w:tr w14:paraId="3F12BF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gridAfter w:val="1"/>
                <w:wAfter w:w="53" w:type="pct"/>
                <w:trHeight w:val="23" w:hRule="atLeast"/>
                <w:jc w:val="center"/>
              </w:trPr>
              <w:tc>
                <w:tcPr>
                  <w:tcW w:w="628" w:type="pct"/>
                  <w:tcBorders>
                    <w:tl2br w:val="nil"/>
                    <w:tr2bl w:val="nil"/>
                  </w:tcBorders>
                  <w:tcMar>
                    <w:top w:w="0" w:type="dxa"/>
                    <w:left w:w="28" w:type="dxa"/>
                    <w:bottom w:w="0" w:type="dxa"/>
                    <w:right w:w="28" w:type="dxa"/>
                  </w:tcMar>
                  <w:vAlign w:val="center"/>
                </w:tcPr>
                <w:p w14:paraId="7A6445BD">
                  <w:pPr>
                    <w:pStyle w:val="41"/>
                    <w:rPr>
                      <w:color w:val="auto"/>
                    </w:rPr>
                  </w:pPr>
                  <w:r>
                    <w:rPr>
                      <w:rFonts w:hint="eastAsia"/>
                      <w:color w:val="auto"/>
                    </w:rPr>
                    <w:t>主体工程</w:t>
                  </w:r>
                </w:p>
              </w:tc>
              <w:tc>
                <w:tcPr>
                  <w:tcW w:w="906" w:type="pct"/>
                  <w:gridSpan w:val="3"/>
                  <w:tcBorders>
                    <w:tl2br w:val="nil"/>
                    <w:tr2bl w:val="nil"/>
                  </w:tcBorders>
                  <w:tcMar>
                    <w:top w:w="0" w:type="dxa"/>
                    <w:left w:w="28" w:type="dxa"/>
                    <w:bottom w:w="0" w:type="dxa"/>
                    <w:right w:w="28" w:type="dxa"/>
                  </w:tcMar>
                  <w:vAlign w:val="center"/>
                </w:tcPr>
                <w:p w14:paraId="73D4613D">
                  <w:pPr>
                    <w:pStyle w:val="41"/>
                    <w:rPr>
                      <w:color w:val="auto"/>
                    </w:rPr>
                  </w:pPr>
                  <w:r>
                    <w:rPr>
                      <w:rFonts w:hint="eastAsia"/>
                      <w:color w:val="auto"/>
                    </w:rPr>
                    <w:t>生产车间</w:t>
                  </w:r>
                </w:p>
              </w:tc>
              <w:tc>
                <w:tcPr>
                  <w:tcW w:w="1490" w:type="pct"/>
                  <w:tcBorders>
                    <w:tl2br w:val="nil"/>
                    <w:tr2bl w:val="nil"/>
                  </w:tcBorders>
                  <w:tcMar>
                    <w:top w:w="0" w:type="dxa"/>
                    <w:left w:w="28" w:type="dxa"/>
                    <w:bottom w:w="0" w:type="dxa"/>
                    <w:right w:w="28" w:type="dxa"/>
                  </w:tcMar>
                  <w:vAlign w:val="center"/>
                </w:tcPr>
                <w:p w14:paraId="35A34B7C">
                  <w:pPr>
                    <w:pStyle w:val="41"/>
                    <w:rPr>
                      <w:color w:val="auto"/>
                    </w:rPr>
                  </w:pPr>
                  <w:r>
                    <w:rPr>
                      <w:rFonts w:hint="eastAsia"/>
                      <w:color w:val="auto"/>
                    </w:rPr>
                    <w:t>建筑物高度6</w:t>
                  </w:r>
                  <w:r>
                    <w:rPr>
                      <w:color w:val="auto"/>
                    </w:rPr>
                    <w:t>m</w:t>
                  </w:r>
                  <w:r>
                    <w:rPr>
                      <w:rFonts w:hint="eastAsia"/>
                      <w:color w:val="auto"/>
                    </w:rPr>
                    <w:t>，面积500</w:t>
                  </w:r>
                  <w:r>
                    <w:rPr>
                      <w:color w:val="auto"/>
                    </w:rPr>
                    <w:t>m</w:t>
                  </w:r>
                  <w:r>
                    <w:rPr>
                      <w:color w:val="auto"/>
                      <w:vertAlign w:val="superscript"/>
                    </w:rPr>
                    <w:t>2</w:t>
                  </w:r>
                </w:p>
              </w:tc>
              <w:tc>
                <w:tcPr>
                  <w:tcW w:w="1920" w:type="pct"/>
                  <w:tcBorders>
                    <w:tl2br w:val="nil"/>
                    <w:tr2bl w:val="nil"/>
                  </w:tcBorders>
                  <w:tcMar>
                    <w:top w:w="0" w:type="dxa"/>
                    <w:left w:w="28" w:type="dxa"/>
                    <w:bottom w:w="0" w:type="dxa"/>
                    <w:right w:w="28" w:type="dxa"/>
                  </w:tcMar>
                  <w:vAlign w:val="center"/>
                </w:tcPr>
                <w:p w14:paraId="5493A44B">
                  <w:pPr>
                    <w:pStyle w:val="41"/>
                    <w:rPr>
                      <w:color w:val="auto"/>
                    </w:rPr>
                  </w:pPr>
                  <w:r>
                    <w:rPr>
                      <w:rFonts w:hint="eastAsia"/>
                      <w:color w:val="auto"/>
                    </w:rPr>
                    <w:t>作为本项目生产车间</w:t>
                  </w:r>
                </w:p>
              </w:tc>
            </w:tr>
            <w:tr w14:paraId="1C165FA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gridAfter w:val="1"/>
                <w:wAfter w:w="53" w:type="pct"/>
                <w:trHeight w:val="23" w:hRule="atLeast"/>
                <w:jc w:val="center"/>
              </w:trPr>
              <w:tc>
                <w:tcPr>
                  <w:tcW w:w="628" w:type="pct"/>
                  <w:vMerge w:val="restart"/>
                  <w:tcBorders>
                    <w:tl2br w:val="nil"/>
                    <w:tr2bl w:val="nil"/>
                  </w:tcBorders>
                  <w:tcMar>
                    <w:top w:w="0" w:type="dxa"/>
                    <w:left w:w="28" w:type="dxa"/>
                    <w:bottom w:w="0" w:type="dxa"/>
                    <w:right w:w="28" w:type="dxa"/>
                  </w:tcMar>
                  <w:vAlign w:val="center"/>
                </w:tcPr>
                <w:p w14:paraId="4D50B919">
                  <w:pPr>
                    <w:pStyle w:val="41"/>
                    <w:rPr>
                      <w:color w:val="auto"/>
                    </w:rPr>
                  </w:pPr>
                  <w:r>
                    <w:rPr>
                      <w:color w:val="auto"/>
                    </w:rPr>
                    <w:t>贮运</w:t>
                  </w:r>
                  <w:r>
                    <w:rPr>
                      <w:color w:val="auto"/>
                    </w:rPr>
                    <w:cr/>
                  </w:r>
                  <w:r>
                    <w:rPr>
                      <w:color w:val="auto"/>
                    </w:rPr>
                    <w:t>工程</w:t>
                  </w:r>
                </w:p>
              </w:tc>
              <w:tc>
                <w:tcPr>
                  <w:tcW w:w="906" w:type="pct"/>
                  <w:gridSpan w:val="3"/>
                  <w:tcBorders>
                    <w:tl2br w:val="nil"/>
                    <w:tr2bl w:val="nil"/>
                  </w:tcBorders>
                  <w:tcMar>
                    <w:top w:w="0" w:type="dxa"/>
                    <w:left w:w="28" w:type="dxa"/>
                    <w:bottom w:w="0" w:type="dxa"/>
                    <w:right w:w="28" w:type="dxa"/>
                  </w:tcMar>
                  <w:vAlign w:val="center"/>
                </w:tcPr>
                <w:p w14:paraId="2CD9DF15">
                  <w:pPr>
                    <w:pStyle w:val="41"/>
                    <w:rPr>
                      <w:color w:val="auto"/>
                    </w:rPr>
                  </w:pPr>
                  <w:r>
                    <w:rPr>
                      <w:rFonts w:hint="eastAsia"/>
                      <w:color w:val="auto"/>
                    </w:rPr>
                    <w:t>原料区</w:t>
                  </w:r>
                </w:p>
              </w:tc>
              <w:tc>
                <w:tcPr>
                  <w:tcW w:w="1490" w:type="pct"/>
                  <w:tcBorders>
                    <w:tl2br w:val="nil"/>
                    <w:tr2bl w:val="nil"/>
                  </w:tcBorders>
                  <w:tcMar>
                    <w:top w:w="0" w:type="dxa"/>
                    <w:left w:w="28" w:type="dxa"/>
                    <w:bottom w:w="0" w:type="dxa"/>
                    <w:right w:w="28" w:type="dxa"/>
                  </w:tcMar>
                  <w:vAlign w:val="center"/>
                </w:tcPr>
                <w:p w14:paraId="3D4FEACB">
                  <w:pPr>
                    <w:pStyle w:val="41"/>
                    <w:rPr>
                      <w:color w:val="auto"/>
                    </w:rPr>
                  </w:pPr>
                  <w:r>
                    <w:rPr>
                      <w:rFonts w:hint="eastAsia"/>
                      <w:color w:val="auto"/>
                    </w:rPr>
                    <w:t>30</w:t>
                  </w:r>
                  <w:r>
                    <w:rPr>
                      <w:color w:val="auto"/>
                    </w:rPr>
                    <w:t>m</w:t>
                  </w:r>
                  <w:r>
                    <w:rPr>
                      <w:color w:val="auto"/>
                      <w:vertAlign w:val="superscript"/>
                    </w:rPr>
                    <w:t>2</w:t>
                  </w:r>
                </w:p>
              </w:tc>
              <w:tc>
                <w:tcPr>
                  <w:tcW w:w="1920" w:type="pct"/>
                  <w:tcBorders>
                    <w:tl2br w:val="nil"/>
                    <w:tr2bl w:val="nil"/>
                  </w:tcBorders>
                  <w:tcMar>
                    <w:top w:w="0" w:type="dxa"/>
                    <w:left w:w="28" w:type="dxa"/>
                    <w:bottom w:w="0" w:type="dxa"/>
                    <w:right w:w="28" w:type="dxa"/>
                  </w:tcMar>
                  <w:vAlign w:val="center"/>
                </w:tcPr>
                <w:p w14:paraId="3DEF3022">
                  <w:pPr>
                    <w:pStyle w:val="41"/>
                    <w:rPr>
                      <w:color w:val="auto"/>
                    </w:rPr>
                  </w:pPr>
                  <w:r>
                    <w:rPr>
                      <w:color w:val="auto"/>
                    </w:rPr>
                    <w:t>室内、储存原料</w:t>
                  </w:r>
                </w:p>
              </w:tc>
            </w:tr>
            <w:tr w14:paraId="5EEFB54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23" w:hRule="atLeast"/>
                <w:jc w:val="center"/>
              </w:trPr>
              <w:tc>
                <w:tcPr>
                  <w:tcW w:w="628" w:type="pct"/>
                  <w:vMerge w:val="continue"/>
                  <w:tcBorders>
                    <w:tl2br w:val="nil"/>
                    <w:tr2bl w:val="nil"/>
                  </w:tcBorders>
                  <w:tcMar>
                    <w:top w:w="0" w:type="dxa"/>
                    <w:left w:w="28" w:type="dxa"/>
                    <w:bottom w:w="0" w:type="dxa"/>
                    <w:right w:w="28" w:type="dxa"/>
                  </w:tcMar>
                  <w:vAlign w:val="center"/>
                </w:tcPr>
                <w:p w14:paraId="216007DF">
                  <w:pPr>
                    <w:pStyle w:val="41"/>
                    <w:rPr>
                      <w:color w:val="auto"/>
                    </w:rPr>
                  </w:pPr>
                </w:p>
              </w:tc>
              <w:tc>
                <w:tcPr>
                  <w:tcW w:w="906" w:type="pct"/>
                  <w:gridSpan w:val="3"/>
                  <w:tcBorders>
                    <w:tl2br w:val="nil"/>
                    <w:tr2bl w:val="nil"/>
                  </w:tcBorders>
                  <w:tcMar>
                    <w:top w:w="0" w:type="dxa"/>
                    <w:left w:w="28" w:type="dxa"/>
                    <w:bottom w:w="0" w:type="dxa"/>
                    <w:right w:w="28" w:type="dxa"/>
                  </w:tcMar>
                  <w:vAlign w:val="center"/>
                </w:tcPr>
                <w:p w14:paraId="7C1AC210">
                  <w:pPr>
                    <w:pStyle w:val="41"/>
                    <w:rPr>
                      <w:color w:val="auto"/>
                    </w:rPr>
                  </w:pPr>
                  <w:r>
                    <w:rPr>
                      <w:rFonts w:hint="eastAsia"/>
                      <w:color w:val="auto"/>
                    </w:rPr>
                    <w:t>成品区</w:t>
                  </w:r>
                </w:p>
              </w:tc>
              <w:tc>
                <w:tcPr>
                  <w:tcW w:w="1490" w:type="pct"/>
                  <w:tcBorders>
                    <w:tl2br w:val="nil"/>
                    <w:tr2bl w:val="nil"/>
                  </w:tcBorders>
                  <w:tcMar>
                    <w:top w:w="0" w:type="dxa"/>
                    <w:left w:w="28" w:type="dxa"/>
                    <w:bottom w:w="0" w:type="dxa"/>
                    <w:right w:w="28" w:type="dxa"/>
                  </w:tcMar>
                  <w:vAlign w:val="center"/>
                </w:tcPr>
                <w:p w14:paraId="2993C7AA">
                  <w:pPr>
                    <w:pStyle w:val="41"/>
                    <w:rPr>
                      <w:color w:val="auto"/>
                    </w:rPr>
                  </w:pPr>
                  <w:r>
                    <w:rPr>
                      <w:rFonts w:hint="eastAsia"/>
                      <w:color w:val="auto"/>
                    </w:rPr>
                    <w:t>30</w:t>
                  </w:r>
                  <w:r>
                    <w:rPr>
                      <w:color w:val="auto"/>
                    </w:rPr>
                    <w:t>m</w:t>
                  </w:r>
                  <w:r>
                    <w:rPr>
                      <w:color w:val="auto"/>
                      <w:vertAlign w:val="superscript"/>
                    </w:rPr>
                    <w:t>2</w:t>
                  </w:r>
                </w:p>
              </w:tc>
              <w:tc>
                <w:tcPr>
                  <w:tcW w:w="1974" w:type="pct"/>
                  <w:gridSpan w:val="2"/>
                  <w:tcBorders>
                    <w:tl2br w:val="nil"/>
                    <w:tr2bl w:val="nil"/>
                  </w:tcBorders>
                  <w:tcMar>
                    <w:top w:w="0" w:type="dxa"/>
                    <w:left w:w="28" w:type="dxa"/>
                    <w:bottom w:w="0" w:type="dxa"/>
                    <w:right w:w="28" w:type="dxa"/>
                  </w:tcMar>
                  <w:vAlign w:val="center"/>
                </w:tcPr>
                <w:p w14:paraId="255F954F">
                  <w:pPr>
                    <w:pStyle w:val="41"/>
                    <w:rPr>
                      <w:color w:val="auto"/>
                    </w:rPr>
                  </w:pPr>
                  <w:r>
                    <w:rPr>
                      <w:color w:val="auto"/>
                    </w:rPr>
                    <w:t>室内、储存成品</w:t>
                  </w:r>
                </w:p>
              </w:tc>
            </w:tr>
            <w:tr w14:paraId="3675C2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23" w:hRule="atLeast"/>
                <w:jc w:val="center"/>
              </w:trPr>
              <w:tc>
                <w:tcPr>
                  <w:tcW w:w="628" w:type="pct"/>
                  <w:vMerge w:val="continue"/>
                  <w:tcBorders>
                    <w:tl2br w:val="nil"/>
                    <w:tr2bl w:val="nil"/>
                  </w:tcBorders>
                  <w:tcMar>
                    <w:top w:w="0" w:type="dxa"/>
                    <w:left w:w="28" w:type="dxa"/>
                    <w:bottom w:w="0" w:type="dxa"/>
                    <w:right w:w="28" w:type="dxa"/>
                  </w:tcMar>
                  <w:vAlign w:val="center"/>
                </w:tcPr>
                <w:p w14:paraId="2D0ABD90">
                  <w:pPr>
                    <w:pStyle w:val="41"/>
                    <w:rPr>
                      <w:color w:val="auto"/>
                    </w:rPr>
                  </w:pPr>
                </w:p>
              </w:tc>
              <w:tc>
                <w:tcPr>
                  <w:tcW w:w="906" w:type="pct"/>
                  <w:gridSpan w:val="3"/>
                  <w:tcBorders>
                    <w:tl2br w:val="nil"/>
                    <w:tr2bl w:val="nil"/>
                  </w:tcBorders>
                  <w:tcMar>
                    <w:top w:w="0" w:type="dxa"/>
                    <w:left w:w="28" w:type="dxa"/>
                    <w:bottom w:w="0" w:type="dxa"/>
                    <w:right w:w="28" w:type="dxa"/>
                  </w:tcMar>
                  <w:vAlign w:val="center"/>
                </w:tcPr>
                <w:p w14:paraId="10170373">
                  <w:pPr>
                    <w:pStyle w:val="41"/>
                    <w:rPr>
                      <w:color w:val="auto"/>
                    </w:rPr>
                  </w:pPr>
                  <w:r>
                    <w:rPr>
                      <w:rFonts w:hint="eastAsia"/>
                      <w:color w:val="auto"/>
                    </w:rPr>
                    <w:t>墨水中间库</w:t>
                  </w:r>
                </w:p>
              </w:tc>
              <w:tc>
                <w:tcPr>
                  <w:tcW w:w="1490" w:type="pct"/>
                  <w:tcBorders>
                    <w:tl2br w:val="nil"/>
                    <w:tr2bl w:val="nil"/>
                  </w:tcBorders>
                  <w:tcMar>
                    <w:top w:w="0" w:type="dxa"/>
                    <w:left w:w="28" w:type="dxa"/>
                    <w:bottom w:w="0" w:type="dxa"/>
                    <w:right w:w="28" w:type="dxa"/>
                  </w:tcMar>
                  <w:vAlign w:val="center"/>
                </w:tcPr>
                <w:p w14:paraId="5DEC06DA">
                  <w:pPr>
                    <w:pStyle w:val="41"/>
                    <w:rPr>
                      <w:color w:val="auto"/>
                    </w:rPr>
                  </w:pPr>
                  <w:r>
                    <w:rPr>
                      <w:rFonts w:hint="eastAsia"/>
                      <w:color w:val="auto"/>
                    </w:rPr>
                    <w:t>10</w:t>
                  </w:r>
                  <w:r>
                    <w:rPr>
                      <w:color w:val="auto"/>
                    </w:rPr>
                    <w:t>m</w:t>
                  </w:r>
                  <w:r>
                    <w:rPr>
                      <w:color w:val="auto"/>
                      <w:vertAlign w:val="superscript"/>
                    </w:rPr>
                    <w:t>2</w:t>
                  </w:r>
                </w:p>
              </w:tc>
              <w:tc>
                <w:tcPr>
                  <w:tcW w:w="1974" w:type="pct"/>
                  <w:gridSpan w:val="2"/>
                  <w:tcBorders>
                    <w:tl2br w:val="nil"/>
                    <w:tr2bl w:val="nil"/>
                  </w:tcBorders>
                  <w:tcMar>
                    <w:top w:w="0" w:type="dxa"/>
                    <w:left w:w="28" w:type="dxa"/>
                    <w:bottom w:w="0" w:type="dxa"/>
                    <w:right w:w="28" w:type="dxa"/>
                  </w:tcMar>
                  <w:vAlign w:val="center"/>
                </w:tcPr>
                <w:p w14:paraId="42CFBC40">
                  <w:pPr>
                    <w:pStyle w:val="41"/>
                    <w:rPr>
                      <w:color w:val="auto"/>
                    </w:rPr>
                  </w:pPr>
                  <w:r>
                    <w:rPr>
                      <w:color w:val="auto"/>
                    </w:rPr>
                    <w:t>室内、储存</w:t>
                  </w:r>
                  <w:r>
                    <w:rPr>
                      <w:rFonts w:hint="eastAsia"/>
                      <w:color w:val="auto"/>
                    </w:rPr>
                    <w:t>墨水</w:t>
                  </w:r>
                </w:p>
              </w:tc>
            </w:tr>
            <w:tr w14:paraId="463DE6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23" w:hRule="atLeast"/>
                <w:jc w:val="center"/>
              </w:trPr>
              <w:tc>
                <w:tcPr>
                  <w:tcW w:w="628" w:type="pct"/>
                  <w:vMerge w:val="restart"/>
                  <w:tcBorders>
                    <w:tl2br w:val="nil"/>
                    <w:tr2bl w:val="nil"/>
                  </w:tcBorders>
                  <w:tcMar>
                    <w:top w:w="0" w:type="dxa"/>
                    <w:left w:w="28" w:type="dxa"/>
                    <w:bottom w:w="0" w:type="dxa"/>
                    <w:right w:w="28" w:type="dxa"/>
                  </w:tcMar>
                  <w:vAlign w:val="center"/>
                </w:tcPr>
                <w:p w14:paraId="5EA1A47E">
                  <w:pPr>
                    <w:pStyle w:val="41"/>
                    <w:rPr>
                      <w:color w:val="auto"/>
                    </w:rPr>
                  </w:pPr>
                  <w:r>
                    <w:rPr>
                      <w:color w:val="auto"/>
                    </w:rPr>
                    <w:t>公用工程</w:t>
                  </w:r>
                </w:p>
              </w:tc>
              <w:tc>
                <w:tcPr>
                  <w:tcW w:w="906" w:type="pct"/>
                  <w:gridSpan w:val="3"/>
                  <w:tcBorders>
                    <w:tl2br w:val="nil"/>
                    <w:tr2bl w:val="nil"/>
                  </w:tcBorders>
                  <w:tcMar>
                    <w:top w:w="0" w:type="dxa"/>
                    <w:left w:w="28" w:type="dxa"/>
                    <w:bottom w:w="0" w:type="dxa"/>
                    <w:right w:w="28" w:type="dxa"/>
                  </w:tcMar>
                  <w:vAlign w:val="center"/>
                </w:tcPr>
                <w:p w14:paraId="7A304BB7">
                  <w:pPr>
                    <w:pStyle w:val="41"/>
                    <w:rPr>
                      <w:color w:val="auto"/>
                    </w:rPr>
                  </w:pPr>
                  <w:r>
                    <w:rPr>
                      <w:color w:val="auto"/>
                    </w:rPr>
                    <w:t>给水</w:t>
                  </w:r>
                </w:p>
              </w:tc>
              <w:tc>
                <w:tcPr>
                  <w:tcW w:w="1490" w:type="pct"/>
                  <w:tcBorders>
                    <w:tl2br w:val="nil"/>
                    <w:tr2bl w:val="nil"/>
                  </w:tcBorders>
                  <w:tcMar>
                    <w:top w:w="0" w:type="dxa"/>
                    <w:left w:w="28" w:type="dxa"/>
                    <w:bottom w:w="0" w:type="dxa"/>
                    <w:right w:w="28" w:type="dxa"/>
                  </w:tcMar>
                  <w:vAlign w:val="center"/>
                </w:tcPr>
                <w:p w14:paraId="29D5926F">
                  <w:pPr>
                    <w:pStyle w:val="41"/>
                    <w:rPr>
                      <w:color w:val="auto"/>
                    </w:rPr>
                  </w:pPr>
                  <w:r>
                    <w:rPr>
                      <w:rFonts w:hint="eastAsia"/>
                      <w:color w:val="auto"/>
                    </w:rPr>
                    <w:t>525.75</w:t>
                  </w:r>
                  <w:r>
                    <w:rPr>
                      <w:color w:val="auto"/>
                    </w:rPr>
                    <w:t>t/</w:t>
                  </w:r>
                  <w:r>
                    <w:rPr>
                      <w:rFonts w:hint="eastAsia"/>
                      <w:color w:val="auto"/>
                    </w:rPr>
                    <w:t>a</w:t>
                  </w:r>
                </w:p>
              </w:tc>
              <w:tc>
                <w:tcPr>
                  <w:tcW w:w="1974" w:type="pct"/>
                  <w:gridSpan w:val="2"/>
                  <w:tcBorders>
                    <w:tl2br w:val="nil"/>
                    <w:tr2bl w:val="nil"/>
                  </w:tcBorders>
                  <w:tcMar>
                    <w:top w:w="0" w:type="dxa"/>
                    <w:left w:w="28" w:type="dxa"/>
                    <w:bottom w:w="0" w:type="dxa"/>
                    <w:right w:w="28" w:type="dxa"/>
                  </w:tcMar>
                  <w:vAlign w:val="center"/>
                </w:tcPr>
                <w:p w14:paraId="015F75FC">
                  <w:pPr>
                    <w:widowControl/>
                    <w:jc w:val="center"/>
                    <w:rPr>
                      <w:color w:val="auto"/>
                    </w:rPr>
                  </w:pPr>
                  <w:r>
                    <w:rPr>
                      <w:color w:val="auto"/>
                    </w:rPr>
                    <w:t>由自来水管网提供，依托出租方</w:t>
                  </w:r>
                </w:p>
              </w:tc>
            </w:tr>
            <w:tr w14:paraId="6113F51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23" w:hRule="atLeast"/>
                <w:jc w:val="center"/>
              </w:trPr>
              <w:tc>
                <w:tcPr>
                  <w:tcW w:w="628" w:type="pct"/>
                  <w:vMerge w:val="continue"/>
                  <w:tcBorders>
                    <w:tl2br w:val="nil"/>
                    <w:tr2bl w:val="nil"/>
                  </w:tcBorders>
                  <w:tcMar>
                    <w:top w:w="0" w:type="dxa"/>
                    <w:left w:w="28" w:type="dxa"/>
                    <w:bottom w:w="0" w:type="dxa"/>
                    <w:right w:w="28" w:type="dxa"/>
                  </w:tcMar>
                  <w:vAlign w:val="center"/>
                </w:tcPr>
                <w:p w14:paraId="4FCE8D78">
                  <w:pPr>
                    <w:pStyle w:val="41"/>
                    <w:rPr>
                      <w:color w:val="auto"/>
                    </w:rPr>
                  </w:pPr>
                </w:p>
              </w:tc>
              <w:tc>
                <w:tcPr>
                  <w:tcW w:w="311" w:type="pct"/>
                  <w:vMerge w:val="restart"/>
                  <w:tcBorders>
                    <w:tl2br w:val="nil"/>
                    <w:tr2bl w:val="nil"/>
                  </w:tcBorders>
                  <w:tcMar>
                    <w:top w:w="0" w:type="dxa"/>
                    <w:left w:w="28" w:type="dxa"/>
                    <w:bottom w:w="0" w:type="dxa"/>
                    <w:right w:w="28" w:type="dxa"/>
                  </w:tcMar>
                  <w:vAlign w:val="center"/>
                </w:tcPr>
                <w:p w14:paraId="42160A16">
                  <w:pPr>
                    <w:pStyle w:val="41"/>
                    <w:rPr>
                      <w:color w:val="auto"/>
                    </w:rPr>
                  </w:pPr>
                  <w:r>
                    <w:rPr>
                      <w:color w:val="auto"/>
                    </w:rPr>
                    <w:t>排水</w:t>
                  </w:r>
                </w:p>
              </w:tc>
              <w:tc>
                <w:tcPr>
                  <w:tcW w:w="594" w:type="pct"/>
                  <w:gridSpan w:val="2"/>
                  <w:tcBorders>
                    <w:tl2br w:val="nil"/>
                    <w:tr2bl w:val="nil"/>
                  </w:tcBorders>
                  <w:tcMar>
                    <w:top w:w="0" w:type="dxa"/>
                    <w:left w:w="28" w:type="dxa"/>
                    <w:bottom w:w="0" w:type="dxa"/>
                    <w:right w:w="28" w:type="dxa"/>
                  </w:tcMar>
                  <w:vAlign w:val="center"/>
                </w:tcPr>
                <w:p w14:paraId="628DD17F">
                  <w:pPr>
                    <w:pStyle w:val="41"/>
                    <w:rPr>
                      <w:color w:val="auto"/>
                    </w:rPr>
                  </w:pPr>
                  <w:r>
                    <w:rPr>
                      <w:color w:val="auto"/>
                    </w:rPr>
                    <w:t>雨水</w:t>
                  </w:r>
                </w:p>
              </w:tc>
              <w:tc>
                <w:tcPr>
                  <w:tcW w:w="1490" w:type="pct"/>
                  <w:tcBorders>
                    <w:tl2br w:val="nil"/>
                    <w:tr2bl w:val="nil"/>
                  </w:tcBorders>
                  <w:tcMar>
                    <w:top w:w="0" w:type="dxa"/>
                    <w:left w:w="28" w:type="dxa"/>
                    <w:bottom w:w="0" w:type="dxa"/>
                    <w:right w:w="28" w:type="dxa"/>
                  </w:tcMar>
                  <w:vAlign w:val="center"/>
                </w:tcPr>
                <w:p w14:paraId="75AAD75D">
                  <w:pPr>
                    <w:pStyle w:val="41"/>
                    <w:rPr>
                      <w:color w:val="auto"/>
                    </w:rPr>
                  </w:pPr>
                  <w:r>
                    <w:rPr>
                      <w:color w:val="auto"/>
                    </w:rPr>
                    <w:t>DN100</w:t>
                  </w:r>
                </w:p>
              </w:tc>
              <w:tc>
                <w:tcPr>
                  <w:tcW w:w="1974" w:type="pct"/>
                  <w:gridSpan w:val="2"/>
                  <w:tcBorders>
                    <w:tl2br w:val="nil"/>
                    <w:tr2bl w:val="nil"/>
                  </w:tcBorders>
                  <w:tcMar>
                    <w:top w:w="0" w:type="dxa"/>
                    <w:left w:w="28" w:type="dxa"/>
                    <w:bottom w:w="0" w:type="dxa"/>
                    <w:right w:w="28" w:type="dxa"/>
                  </w:tcMar>
                  <w:vAlign w:val="center"/>
                </w:tcPr>
                <w:p w14:paraId="36151002">
                  <w:pPr>
                    <w:pStyle w:val="41"/>
                    <w:rPr>
                      <w:color w:val="auto"/>
                    </w:rPr>
                  </w:pPr>
                  <w:r>
                    <w:rPr>
                      <w:color w:val="auto"/>
                    </w:rPr>
                    <w:t>排入雨水管网，依托出租方</w:t>
                  </w:r>
                </w:p>
              </w:tc>
            </w:tr>
            <w:tr w14:paraId="66D1E9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23" w:hRule="atLeast"/>
                <w:jc w:val="center"/>
              </w:trPr>
              <w:tc>
                <w:tcPr>
                  <w:tcW w:w="628" w:type="pct"/>
                  <w:vMerge w:val="continue"/>
                  <w:tcBorders>
                    <w:tl2br w:val="nil"/>
                    <w:tr2bl w:val="nil"/>
                  </w:tcBorders>
                  <w:tcMar>
                    <w:top w:w="0" w:type="dxa"/>
                    <w:left w:w="28" w:type="dxa"/>
                    <w:bottom w:w="0" w:type="dxa"/>
                    <w:right w:w="28" w:type="dxa"/>
                  </w:tcMar>
                  <w:vAlign w:val="center"/>
                </w:tcPr>
                <w:p w14:paraId="55AD6CEF">
                  <w:pPr>
                    <w:pStyle w:val="41"/>
                    <w:rPr>
                      <w:color w:val="auto"/>
                    </w:rPr>
                  </w:pPr>
                </w:p>
              </w:tc>
              <w:tc>
                <w:tcPr>
                  <w:tcW w:w="311" w:type="pct"/>
                  <w:vMerge w:val="continue"/>
                  <w:tcBorders>
                    <w:tl2br w:val="nil"/>
                    <w:tr2bl w:val="nil"/>
                  </w:tcBorders>
                  <w:tcMar>
                    <w:top w:w="0" w:type="dxa"/>
                    <w:left w:w="28" w:type="dxa"/>
                    <w:bottom w:w="0" w:type="dxa"/>
                    <w:right w:w="28" w:type="dxa"/>
                  </w:tcMar>
                  <w:vAlign w:val="center"/>
                </w:tcPr>
                <w:p w14:paraId="7938EBE8">
                  <w:pPr>
                    <w:pStyle w:val="41"/>
                    <w:rPr>
                      <w:color w:val="auto"/>
                    </w:rPr>
                  </w:pPr>
                </w:p>
              </w:tc>
              <w:tc>
                <w:tcPr>
                  <w:tcW w:w="594" w:type="pct"/>
                  <w:gridSpan w:val="2"/>
                  <w:tcBorders>
                    <w:tl2br w:val="nil"/>
                    <w:tr2bl w:val="nil"/>
                  </w:tcBorders>
                  <w:tcMar>
                    <w:top w:w="0" w:type="dxa"/>
                    <w:left w:w="28" w:type="dxa"/>
                    <w:bottom w:w="0" w:type="dxa"/>
                    <w:right w:w="28" w:type="dxa"/>
                  </w:tcMar>
                  <w:vAlign w:val="center"/>
                </w:tcPr>
                <w:p w14:paraId="17BF1061">
                  <w:pPr>
                    <w:pStyle w:val="41"/>
                    <w:rPr>
                      <w:color w:val="auto"/>
                    </w:rPr>
                  </w:pPr>
                  <w:r>
                    <w:rPr>
                      <w:color w:val="auto"/>
                    </w:rPr>
                    <w:t>污水</w:t>
                  </w:r>
                </w:p>
              </w:tc>
              <w:tc>
                <w:tcPr>
                  <w:tcW w:w="1490" w:type="pct"/>
                  <w:tcBorders>
                    <w:tl2br w:val="nil"/>
                    <w:tr2bl w:val="nil"/>
                  </w:tcBorders>
                  <w:tcMar>
                    <w:top w:w="0" w:type="dxa"/>
                    <w:left w:w="28" w:type="dxa"/>
                    <w:bottom w:w="0" w:type="dxa"/>
                    <w:right w:w="28" w:type="dxa"/>
                  </w:tcMar>
                  <w:vAlign w:val="center"/>
                </w:tcPr>
                <w:p w14:paraId="17E41EB3">
                  <w:pPr>
                    <w:pStyle w:val="41"/>
                    <w:rPr>
                      <w:color w:val="auto"/>
                    </w:rPr>
                  </w:pPr>
                  <w:r>
                    <w:rPr>
                      <w:rFonts w:hint="eastAsia"/>
                      <w:color w:val="auto"/>
                    </w:rPr>
                    <w:t>120</w:t>
                  </w:r>
                  <w:r>
                    <w:rPr>
                      <w:color w:val="auto"/>
                    </w:rPr>
                    <w:t>t/a</w:t>
                  </w:r>
                </w:p>
              </w:tc>
              <w:tc>
                <w:tcPr>
                  <w:tcW w:w="1974" w:type="pct"/>
                  <w:gridSpan w:val="2"/>
                  <w:tcBorders>
                    <w:tl2br w:val="nil"/>
                    <w:tr2bl w:val="nil"/>
                  </w:tcBorders>
                  <w:tcMar>
                    <w:top w:w="0" w:type="dxa"/>
                    <w:left w:w="28" w:type="dxa"/>
                    <w:bottom w:w="0" w:type="dxa"/>
                    <w:right w:w="28" w:type="dxa"/>
                  </w:tcMar>
                  <w:vAlign w:val="center"/>
                </w:tcPr>
                <w:p w14:paraId="257A7B1E">
                  <w:pPr>
                    <w:pStyle w:val="41"/>
                    <w:rPr>
                      <w:color w:val="auto"/>
                    </w:rPr>
                  </w:pPr>
                  <w:r>
                    <w:rPr>
                      <w:color w:val="auto"/>
                    </w:rPr>
                    <w:t>经化粪池预处理后依托租赁方接管口接入</w:t>
                  </w:r>
                  <w:r>
                    <w:rPr>
                      <w:color w:val="auto"/>
                      <w:kern w:val="0"/>
                      <w:lang w:bidi="ar"/>
                    </w:rPr>
                    <w:t>江阴市山泉污水处理厂</w:t>
                  </w:r>
                  <w:r>
                    <w:rPr>
                      <w:color w:val="auto"/>
                    </w:rPr>
                    <w:t>集中处理</w:t>
                  </w:r>
                </w:p>
              </w:tc>
            </w:tr>
            <w:tr w14:paraId="38C3CF0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23" w:hRule="atLeast"/>
                <w:jc w:val="center"/>
              </w:trPr>
              <w:tc>
                <w:tcPr>
                  <w:tcW w:w="628" w:type="pct"/>
                  <w:vMerge w:val="continue"/>
                  <w:tcBorders>
                    <w:tl2br w:val="nil"/>
                    <w:tr2bl w:val="nil"/>
                  </w:tcBorders>
                  <w:tcMar>
                    <w:top w:w="0" w:type="dxa"/>
                    <w:left w:w="28" w:type="dxa"/>
                    <w:bottom w:w="0" w:type="dxa"/>
                    <w:right w:w="28" w:type="dxa"/>
                  </w:tcMar>
                  <w:vAlign w:val="center"/>
                </w:tcPr>
                <w:p w14:paraId="1DF0A3D7">
                  <w:pPr>
                    <w:pStyle w:val="41"/>
                    <w:rPr>
                      <w:color w:val="auto"/>
                    </w:rPr>
                  </w:pPr>
                </w:p>
              </w:tc>
              <w:tc>
                <w:tcPr>
                  <w:tcW w:w="906" w:type="pct"/>
                  <w:gridSpan w:val="3"/>
                  <w:tcBorders>
                    <w:tl2br w:val="nil"/>
                    <w:tr2bl w:val="nil"/>
                  </w:tcBorders>
                  <w:tcMar>
                    <w:top w:w="0" w:type="dxa"/>
                    <w:left w:w="28" w:type="dxa"/>
                    <w:bottom w:w="0" w:type="dxa"/>
                    <w:right w:w="28" w:type="dxa"/>
                  </w:tcMar>
                  <w:vAlign w:val="center"/>
                </w:tcPr>
                <w:p w14:paraId="33CA39A9">
                  <w:pPr>
                    <w:pStyle w:val="41"/>
                    <w:rPr>
                      <w:color w:val="auto"/>
                    </w:rPr>
                  </w:pPr>
                  <w:r>
                    <w:rPr>
                      <w:color w:val="auto"/>
                    </w:rPr>
                    <w:t>供电</w:t>
                  </w:r>
                </w:p>
              </w:tc>
              <w:tc>
                <w:tcPr>
                  <w:tcW w:w="1490" w:type="pct"/>
                  <w:tcBorders>
                    <w:tl2br w:val="nil"/>
                    <w:tr2bl w:val="nil"/>
                  </w:tcBorders>
                  <w:tcMar>
                    <w:top w:w="0" w:type="dxa"/>
                    <w:left w:w="28" w:type="dxa"/>
                    <w:bottom w:w="0" w:type="dxa"/>
                    <w:right w:w="28" w:type="dxa"/>
                  </w:tcMar>
                  <w:vAlign w:val="center"/>
                </w:tcPr>
                <w:p w14:paraId="7012D7F7">
                  <w:pPr>
                    <w:pStyle w:val="41"/>
                    <w:rPr>
                      <w:color w:val="auto"/>
                    </w:rPr>
                  </w:pPr>
                  <w:r>
                    <w:rPr>
                      <w:rFonts w:hint="eastAsia"/>
                      <w:color w:val="auto"/>
                      <w:lang w:val="en-US" w:eastAsia="zh-CN"/>
                    </w:rPr>
                    <w:t>33.7</w:t>
                  </w:r>
                  <w:r>
                    <w:rPr>
                      <w:color w:val="auto"/>
                    </w:rPr>
                    <w:t>万kWh/a</w:t>
                  </w:r>
                </w:p>
              </w:tc>
              <w:tc>
                <w:tcPr>
                  <w:tcW w:w="1974" w:type="pct"/>
                  <w:gridSpan w:val="2"/>
                  <w:tcBorders>
                    <w:tl2br w:val="nil"/>
                    <w:tr2bl w:val="nil"/>
                  </w:tcBorders>
                  <w:tcMar>
                    <w:top w:w="0" w:type="dxa"/>
                    <w:left w:w="28" w:type="dxa"/>
                    <w:bottom w:w="0" w:type="dxa"/>
                    <w:right w:w="28" w:type="dxa"/>
                  </w:tcMar>
                  <w:vAlign w:val="center"/>
                </w:tcPr>
                <w:p w14:paraId="1DF41B30">
                  <w:pPr>
                    <w:pStyle w:val="41"/>
                    <w:rPr>
                      <w:color w:val="auto"/>
                    </w:rPr>
                  </w:pPr>
                  <w:r>
                    <w:rPr>
                      <w:color w:val="auto"/>
                    </w:rPr>
                    <w:t>公共变压器、依托出租房</w:t>
                  </w:r>
                </w:p>
              </w:tc>
            </w:tr>
            <w:tr w14:paraId="350772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23" w:hRule="atLeast"/>
                <w:jc w:val="center"/>
              </w:trPr>
              <w:tc>
                <w:tcPr>
                  <w:tcW w:w="628" w:type="pct"/>
                  <w:vMerge w:val="restart"/>
                  <w:tcBorders>
                    <w:tl2br w:val="nil"/>
                    <w:tr2bl w:val="nil"/>
                  </w:tcBorders>
                  <w:tcMar>
                    <w:top w:w="0" w:type="dxa"/>
                    <w:left w:w="28" w:type="dxa"/>
                    <w:bottom w:w="0" w:type="dxa"/>
                    <w:right w:w="28" w:type="dxa"/>
                  </w:tcMar>
                  <w:vAlign w:val="center"/>
                </w:tcPr>
                <w:p w14:paraId="4AEA7ADD">
                  <w:pPr>
                    <w:pStyle w:val="41"/>
                    <w:rPr>
                      <w:color w:val="auto"/>
                    </w:rPr>
                  </w:pPr>
                  <w:r>
                    <w:rPr>
                      <w:rFonts w:hint="eastAsia"/>
                      <w:color w:val="auto"/>
                    </w:rPr>
                    <w:t>环保工程</w:t>
                  </w:r>
                </w:p>
              </w:tc>
              <w:tc>
                <w:tcPr>
                  <w:tcW w:w="311" w:type="pct"/>
                  <w:tcBorders>
                    <w:tl2br w:val="nil"/>
                    <w:tr2bl w:val="nil"/>
                  </w:tcBorders>
                  <w:tcMar>
                    <w:top w:w="0" w:type="dxa"/>
                    <w:left w:w="28" w:type="dxa"/>
                    <w:bottom w:w="0" w:type="dxa"/>
                    <w:right w:w="28" w:type="dxa"/>
                  </w:tcMar>
                  <w:vAlign w:val="center"/>
                </w:tcPr>
                <w:p w14:paraId="20784E06">
                  <w:pPr>
                    <w:pStyle w:val="41"/>
                    <w:rPr>
                      <w:color w:val="auto"/>
                    </w:rPr>
                  </w:pPr>
                  <w:r>
                    <w:rPr>
                      <w:rFonts w:hint="eastAsia"/>
                      <w:color w:val="auto"/>
                    </w:rPr>
                    <w:t>废气处理</w:t>
                  </w:r>
                </w:p>
              </w:tc>
              <w:tc>
                <w:tcPr>
                  <w:tcW w:w="594" w:type="pct"/>
                  <w:gridSpan w:val="2"/>
                  <w:tcBorders>
                    <w:tl2br w:val="nil"/>
                    <w:tr2bl w:val="nil"/>
                  </w:tcBorders>
                  <w:tcMar>
                    <w:top w:w="0" w:type="dxa"/>
                    <w:left w:w="28" w:type="dxa"/>
                    <w:bottom w:w="0" w:type="dxa"/>
                    <w:right w:w="28" w:type="dxa"/>
                  </w:tcMar>
                  <w:vAlign w:val="center"/>
                </w:tcPr>
                <w:p w14:paraId="4255F892">
                  <w:pPr>
                    <w:pStyle w:val="41"/>
                    <w:rPr>
                      <w:rFonts w:hint="eastAsia" w:eastAsia="宋体"/>
                      <w:color w:val="auto"/>
                      <w:lang w:val="en-US" w:eastAsia="zh-CN"/>
                    </w:rPr>
                  </w:pPr>
                  <w:r>
                    <w:rPr>
                      <w:rFonts w:hint="eastAsia"/>
                      <w:color w:val="auto"/>
                      <w:lang w:val="en-US" w:eastAsia="zh-CN"/>
                    </w:rPr>
                    <w:t>二级活性炭</w:t>
                  </w:r>
                </w:p>
              </w:tc>
              <w:tc>
                <w:tcPr>
                  <w:tcW w:w="1490" w:type="pct"/>
                  <w:tcBorders>
                    <w:tl2br w:val="nil"/>
                    <w:tr2bl w:val="nil"/>
                  </w:tcBorders>
                  <w:tcMar>
                    <w:top w:w="0" w:type="dxa"/>
                    <w:left w:w="28" w:type="dxa"/>
                    <w:bottom w:w="0" w:type="dxa"/>
                    <w:right w:w="28" w:type="dxa"/>
                  </w:tcMar>
                  <w:vAlign w:val="center"/>
                </w:tcPr>
                <w:p w14:paraId="772DE24F">
                  <w:pPr>
                    <w:pStyle w:val="41"/>
                    <w:rPr>
                      <w:color w:val="auto"/>
                    </w:rPr>
                  </w:pPr>
                  <w:r>
                    <w:rPr>
                      <w:rFonts w:hint="eastAsia"/>
                      <w:color w:val="auto"/>
                      <w:lang w:val="en-US" w:eastAsia="zh-CN"/>
                    </w:rPr>
                    <w:t>1</w:t>
                  </w:r>
                  <w:r>
                    <w:rPr>
                      <w:rFonts w:hint="eastAsia"/>
                      <w:color w:val="auto"/>
                    </w:rPr>
                    <w:t>0000m</w:t>
                  </w:r>
                  <w:r>
                    <w:rPr>
                      <w:rFonts w:hint="eastAsia"/>
                      <w:color w:val="auto"/>
                      <w:vertAlign w:val="superscript"/>
                    </w:rPr>
                    <w:t>3</w:t>
                  </w:r>
                  <w:r>
                    <w:rPr>
                      <w:rFonts w:hint="eastAsia"/>
                      <w:color w:val="auto"/>
                    </w:rPr>
                    <w:t>/h</w:t>
                  </w:r>
                </w:p>
              </w:tc>
              <w:tc>
                <w:tcPr>
                  <w:tcW w:w="1974" w:type="pct"/>
                  <w:gridSpan w:val="2"/>
                  <w:tcBorders>
                    <w:tl2br w:val="nil"/>
                    <w:tr2bl w:val="nil"/>
                  </w:tcBorders>
                  <w:tcMar>
                    <w:top w:w="0" w:type="dxa"/>
                    <w:left w:w="28" w:type="dxa"/>
                    <w:bottom w:w="0" w:type="dxa"/>
                    <w:right w:w="28" w:type="dxa"/>
                  </w:tcMar>
                  <w:vAlign w:val="center"/>
                </w:tcPr>
                <w:p w14:paraId="364FF8C5">
                  <w:pPr>
                    <w:pStyle w:val="41"/>
                    <w:rPr>
                      <w:color w:val="auto"/>
                    </w:rPr>
                  </w:pPr>
                  <w:r>
                    <w:rPr>
                      <w:rFonts w:hint="eastAsia"/>
                      <w:color w:val="auto"/>
                    </w:rPr>
                    <w:t>数码印花及烘干</w:t>
                  </w:r>
                  <w:r>
                    <w:rPr>
                      <w:color w:val="auto"/>
                    </w:rPr>
                    <w:t>废气</w:t>
                  </w:r>
                  <w:r>
                    <w:rPr>
                      <w:rFonts w:hint="eastAsia"/>
                      <w:color w:val="auto"/>
                    </w:rPr>
                    <w:t>、热转移印花废气经集气罩收集后由“</w:t>
                  </w:r>
                  <w:r>
                    <w:rPr>
                      <w:rFonts w:hint="eastAsia"/>
                      <w:color w:val="auto"/>
                      <w:lang w:val="en-US" w:eastAsia="zh-CN"/>
                    </w:rPr>
                    <w:t>二级活性炭</w:t>
                  </w:r>
                  <w:r>
                    <w:rPr>
                      <w:rFonts w:hint="eastAsia"/>
                      <w:color w:val="auto"/>
                    </w:rPr>
                    <w:t>”废气处理设施处置，通过</w:t>
                  </w:r>
                  <w:r>
                    <w:rPr>
                      <w:color w:val="auto"/>
                    </w:rPr>
                    <w:t>15mFQ-01</w:t>
                  </w:r>
                  <w:r>
                    <w:rPr>
                      <w:rFonts w:hint="eastAsia"/>
                      <w:color w:val="auto"/>
                    </w:rPr>
                    <w:t>排气筒排放（捕集率90%，去除率90%）</w:t>
                  </w:r>
                </w:p>
              </w:tc>
            </w:tr>
            <w:tr w14:paraId="391076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23" w:hRule="atLeast"/>
                <w:jc w:val="center"/>
              </w:trPr>
              <w:tc>
                <w:tcPr>
                  <w:tcW w:w="628" w:type="pct"/>
                  <w:vMerge w:val="continue"/>
                  <w:tcBorders>
                    <w:tl2br w:val="nil"/>
                    <w:tr2bl w:val="nil"/>
                  </w:tcBorders>
                  <w:tcMar>
                    <w:top w:w="0" w:type="dxa"/>
                    <w:left w:w="28" w:type="dxa"/>
                    <w:bottom w:w="0" w:type="dxa"/>
                    <w:right w:w="28" w:type="dxa"/>
                  </w:tcMar>
                  <w:vAlign w:val="center"/>
                </w:tcPr>
                <w:p w14:paraId="79ADABC3">
                  <w:pPr>
                    <w:pStyle w:val="41"/>
                    <w:rPr>
                      <w:color w:val="auto"/>
                    </w:rPr>
                  </w:pPr>
                </w:p>
              </w:tc>
              <w:tc>
                <w:tcPr>
                  <w:tcW w:w="311" w:type="pct"/>
                  <w:tcBorders>
                    <w:tl2br w:val="nil"/>
                    <w:tr2bl w:val="nil"/>
                  </w:tcBorders>
                  <w:tcMar>
                    <w:top w:w="0" w:type="dxa"/>
                    <w:left w:w="28" w:type="dxa"/>
                    <w:bottom w:w="0" w:type="dxa"/>
                    <w:right w:w="28" w:type="dxa"/>
                  </w:tcMar>
                  <w:vAlign w:val="center"/>
                </w:tcPr>
                <w:p w14:paraId="16A34D68">
                  <w:pPr>
                    <w:pStyle w:val="41"/>
                    <w:rPr>
                      <w:color w:val="auto"/>
                    </w:rPr>
                  </w:pPr>
                  <w:r>
                    <w:rPr>
                      <w:rFonts w:hint="eastAsia"/>
                      <w:color w:val="auto"/>
                    </w:rPr>
                    <w:t>废水处理</w:t>
                  </w:r>
                </w:p>
              </w:tc>
              <w:tc>
                <w:tcPr>
                  <w:tcW w:w="594" w:type="pct"/>
                  <w:gridSpan w:val="2"/>
                  <w:tcBorders>
                    <w:tl2br w:val="nil"/>
                    <w:tr2bl w:val="nil"/>
                  </w:tcBorders>
                  <w:tcMar>
                    <w:top w:w="0" w:type="dxa"/>
                    <w:left w:w="28" w:type="dxa"/>
                    <w:bottom w:w="0" w:type="dxa"/>
                    <w:right w:w="28" w:type="dxa"/>
                  </w:tcMar>
                  <w:vAlign w:val="center"/>
                </w:tcPr>
                <w:p w14:paraId="11DD421C">
                  <w:pPr>
                    <w:pStyle w:val="41"/>
                    <w:rPr>
                      <w:color w:val="auto"/>
                    </w:rPr>
                  </w:pPr>
                  <w:r>
                    <w:rPr>
                      <w:rFonts w:hint="eastAsia"/>
                      <w:color w:val="auto"/>
                    </w:rPr>
                    <w:t>化粪池</w:t>
                  </w:r>
                </w:p>
              </w:tc>
              <w:tc>
                <w:tcPr>
                  <w:tcW w:w="1490" w:type="pct"/>
                  <w:tcBorders>
                    <w:tl2br w:val="nil"/>
                    <w:tr2bl w:val="nil"/>
                  </w:tcBorders>
                  <w:tcMar>
                    <w:top w:w="0" w:type="dxa"/>
                    <w:left w:w="28" w:type="dxa"/>
                    <w:bottom w:w="0" w:type="dxa"/>
                    <w:right w:w="28" w:type="dxa"/>
                  </w:tcMar>
                  <w:vAlign w:val="center"/>
                </w:tcPr>
                <w:p w14:paraId="703DEFE8">
                  <w:pPr>
                    <w:pStyle w:val="41"/>
                    <w:rPr>
                      <w:color w:val="auto"/>
                    </w:rPr>
                  </w:pPr>
                  <w:r>
                    <w:rPr>
                      <w:rFonts w:hint="eastAsia"/>
                      <w:color w:val="auto"/>
                    </w:rPr>
                    <w:t>20m</w:t>
                  </w:r>
                  <w:r>
                    <w:rPr>
                      <w:rFonts w:hint="eastAsia"/>
                      <w:color w:val="auto"/>
                      <w:vertAlign w:val="superscript"/>
                    </w:rPr>
                    <w:t>3</w:t>
                  </w:r>
                </w:p>
              </w:tc>
              <w:tc>
                <w:tcPr>
                  <w:tcW w:w="1974" w:type="pct"/>
                  <w:gridSpan w:val="2"/>
                  <w:tcBorders>
                    <w:tl2br w:val="nil"/>
                    <w:tr2bl w:val="nil"/>
                  </w:tcBorders>
                  <w:tcMar>
                    <w:top w:w="0" w:type="dxa"/>
                    <w:left w:w="28" w:type="dxa"/>
                    <w:bottom w:w="0" w:type="dxa"/>
                    <w:right w:w="28" w:type="dxa"/>
                  </w:tcMar>
                  <w:vAlign w:val="center"/>
                </w:tcPr>
                <w:p w14:paraId="132978EA">
                  <w:pPr>
                    <w:pStyle w:val="41"/>
                    <w:rPr>
                      <w:color w:val="auto"/>
                    </w:rPr>
                  </w:pPr>
                  <w:r>
                    <w:rPr>
                      <w:rFonts w:hint="eastAsia"/>
                      <w:color w:val="auto"/>
                    </w:rPr>
                    <w:t>简单生化处理、依托出租方</w:t>
                  </w:r>
                </w:p>
              </w:tc>
            </w:tr>
            <w:tr w14:paraId="78B797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23" w:hRule="atLeast"/>
                <w:jc w:val="center"/>
              </w:trPr>
              <w:tc>
                <w:tcPr>
                  <w:tcW w:w="628" w:type="pct"/>
                  <w:vMerge w:val="continue"/>
                  <w:tcBorders>
                    <w:tl2br w:val="nil"/>
                    <w:tr2bl w:val="nil"/>
                  </w:tcBorders>
                  <w:tcMar>
                    <w:top w:w="0" w:type="dxa"/>
                    <w:left w:w="28" w:type="dxa"/>
                    <w:bottom w:w="0" w:type="dxa"/>
                    <w:right w:w="28" w:type="dxa"/>
                  </w:tcMar>
                  <w:vAlign w:val="center"/>
                </w:tcPr>
                <w:p w14:paraId="47A125B7">
                  <w:pPr>
                    <w:pStyle w:val="41"/>
                    <w:rPr>
                      <w:color w:val="auto"/>
                    </w:rPr>
                  </w:pPr>
                </w:p>
              </w:tc>
              <w:tc>
                <w:tcPr>
                  <w:tcW w:w="906" w:type="pct"/>
                  <w:gridSpan w:val="3"/>
                  <w:tcBorders>
                    <w:tl2br w:val="nil"/>
                    <w:tr2bl w:val="nil"/>
                  </w:tcBorders>
                  <w:tcMar>
                    <w:top w:w="0" w:type="dxa"/>
                    <w:left w:w="28" w:type="dxa"/>
                    <w:bottom w:w="0" w:type="dxa"/>
                    <w:right w:w="28" w:type="dxa"/>
                  </w:tcMar>
                  <w:vAlign w:val="center"/>
                </w:tcPr>
                <w:p w14:paraId="0C30A830">
                  <w:pPr>
                    <w:pStyle w:val="41"/>
                    <w:rPr>
                      <w:color w:val="auto"/>
                    </w:rPr>
                  </w:pPr>
                  <w:r>
                    <w:rPr>
                      <w:rFonts w:hint="eastAsia"/>
                      <w:color w:val="auto"/>
                    </w:rPr>
                    <w:t>噪声</w:t>
                  </w:r>
                </w:p>
              </w:tc>
              <w:tc>
                <w:tcPr>
                  <w:tcW w:w="1490" w:type="pct"/>
                  <w:tcBorders>
                    <w:tl2br w:val="nil"/>
                    <w:tr2bl w:val="nil"/>
                  </w:tcBorders>
                  <w:tcMar>
                    <w:top w:w="0" w:type="dxa"/>
                    <w:left w:w="28" w:type="dxa"/>
                    <w:bottom w:w="0" w:type="dxa"/>
                    <w:right w:w="28" w:type="dxa"/>
                  </w:tcMar>
                  <w:vAlign w:val="center"/>
                </w:tcPr>
                <w:p w14:paraId="41B0F096">
                  <w:pPr>
                    <w:pStyle w:val="41"/>
                    <w:rPr>
                      <w:color w:val="auto"/>
                    </w:rPr>
                  </w:pPr>
                  <w:r>
                    <w:rPr>
                      <w:rFonts w:hint="eastAsia"/>
                      <w:color w:val="auto"/>
                    </w:rPr>
                    <w:t>≥20dB(A)</w:t>
                  </w:r>
                </w:p>
              </w:tc>
              <w:tc>
                <w:tcPr>
                  <w:tcW w:w="1974" w:type="pct"/>
                  <w:gridSpan w:val="2"/>
                  <w:tcBorders>
                    <w:tl2br w:val="nil"/>
                    <w:tr2bl w:val="nil"/>
                  </w:tcBorders>
                  <w:tcMar>
                    <w:top w:w="0" w:type="dxa"/>
                    <w:left w:w="28" w:type="dxa"/>
                    <w:bottom w:w="0" w:type="dxa"/>
                    <w:right w:w="28" w:type="dxa"/>
                  </w:tcMar>
                  <w:vAlign w:val="center"/>
                </w:tcPr>
                <w:p w14:paraId="3C0A7858">
                  <w:pPr>
                    <w:pStyle w:val="41"/>
                    <w:rPr>
                      <w:color w:val="auto"/>
                    </w:rPr>
                  </w:pPr>
                  <w:r>
                    <w:rPr>
                      <w:rFonts w:hint="eastAsia"/>
                      <w:color w:val="auto"/>
                    </w:rPr>
                    <w:t>厂界达标排放</w:t>
                  </w:r>
                </w:p>
              </w:tc>
            </w:tr>
            <w:tr w14:paraId="69F807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23" w:hRule="atLeast"/>
                <w:jc w:val="center"/>
              </w:trPr>
              <w:tc>
                <w:tcPr>
                  <w:tcW w:w="628" w:type="pct"/>
                  <w:vMerge w:val="continue"/>
                  <w:tcBorders>
                    <w:tl2br w:val="nil"/>
                    <w:tr2bl w:val="nil"/>
                  </w:tcBorders>
                  <w:tcMar>
                    <w:top w:w="0" w:type="dxa"/>
                    <w:left w:w="28" w:type="dxa"/>
                    <w:bottom w:w="0" w:type="dxa"/>
                    <w:right w:w="28" w:type="dxa"/>
                  </w:tcMar>
                  <w:vAlign w:val="center"/>
                </w:tcPr>
                <w:p w14:paraId="3632061B">
                  <w:pPr>
                    <w:pStyle w:val="41"/>
                    <w:rPr>
                      <w:color w:val="auto"/>
                    </w:rPr>
                  </w:pPr>
                </w:p>
              </w:tc>
              <w:tc>
                <w:tcPr>
                  <w:tcW w:w="453" w:type="pct"/>
                  <w:gridSpan w:val="2"/>
                  <w:vMerge w:val="restart"/>
                  <w:tcBorders>
                    <w:tl2br w:val="nil"/>
                    <w:tr2bl w:val="nil"/>
                  </w:tcBorders>
                  <w:tcMar>
                    <w:top w:w="0" w:type="dxa"/>
                    <w:left w:w="28" w:type="dxa"/>
                    <w:bottom w:w="0" w:type="dxa"/>
                    <w:right w:w="28" w:type="dxa"/>
                  </w:tcMar>
                  <w:vAlign w:val="center"/>
                </w:tcPr>
                <w:p w14:paraId="382118E5">
                  <w:pPr>
                    <w:pStyle w:val="41"/>
                    <w:rPr>
                      <w:color w:val="auto"/>
                    </w:rPr>
                  </w:pPr>
                  <w:r>
                    <w:rPr>
                      <w:rFonts w:hint="eastAsia"/>
                      <w:color w:val="auto"/>
                    </w:rPr>
                    <w:t>固废处置</w:t>
                  </w:r>
                </w:p>
              </w:tc>
              <w:tc>
                <w:tcPr>
                  <w:tcW w:w="453" w:type="pct"/>
                  <w:tcBorders>
                    <w:tl2br w:val="nil"/>
                    <w:tr2bl w:val="nil"/>
                  </w:tcBorders>
                  <w:tcMar>
                    <w:top w:w="0" w:type="dxa"/>
                    <w:left w:w="28" w:type="dxa"/>
                    <w:bottom w:w="0" w:type="dxa"/>
                    <w:right w:w="28" w:type="dxa"/>
                  </w:tcMar>
                  <w:vAlign w:val="center"/>
                </w:tcPr>
                <w:p w14:paraId="68C4CFEC">
                  <w:pPr>
                    <w:pStyle w:val="41"/>
                    <w:rPr>
                      <w:color w:val="auto"/>
                    </w:rPr>
                  </w:pPr>
                  <w:r>
                    <w:rPr>
                      <w:rFonts w:hint="eastAsia"/>
                      <w:color w:val="auto"/>
                    </w:rPr>
                    <w:t>一般固废堆场</w:t>
                  </w:r>
                </w:p>
              </w:tc>
              <w:tc>
                <w:tcPr>
                  <w:tcW w:w="1490" w:type="pct"/>
                  <w:tcBorders>
                    <w:tl2br w:val="nil"/>
                    <w:tr2bl w:val="nil"/>
                  </w:tcBorders>
                  <w:tcMar>
                    <w:top w:w="0" w:type="dxa"/>
                    <w:left w:w="28" w:type="dxa"/>
                    <w:bottom w:w="0" w:type="dxa"/>
                    <w:right w:w="28" w:type="dxa"/>
                  </w:tcMar>
                  <w:vAlign w:val="center"/>
                </w:tcPr>
                <w:p w14:paraId="61697C8E">
                  <w:pPr>
                    <w:pStyle w:val="41"/>
                    <w:rPr>
                      <w:color w:val="auto"/>
                    </w:rPr>
                  </w:pPr>
                  <w:r>
                    <w:rPr>
                      <w:rFonts w:hint="eastAsia"/>
                      <w:color w:val="auto"/>
                    </w:rPr>
                    <w:t>20m</w:t>
                  </w:r>
                  <w:r>
                    <w:rPr>
                      <w:rFonts w:hint="eastAsia"/>
                      <w:color w:val="auto"/>
                      <w:vertAlign w:val="superscript"/>
                    </w:rPr>
                    <w:t>2</w:t>
                  </w:r>
                </w:p>
              </w:tc>
              <w:tc>
                <w:tcPr>
                  <w:tcW w:w="1974" w:type="pct"/>
                  <w:gridSpan w:val="2"/>
                  <w:vMerge w:val="restart"/>
                  <w:tcBorders>
                    <w:tl2br w:val="nil"/>
                    <w:tr2bl w:val="nil"/>
                  </w:tcBorders>
                  <w:tcMar>
                    <w:top w:w="0" w:type="dxa"/>
                    <w:left w:w="28" w:type="dxa"/>
                    <w:bottom w:w="0" w:type="dxa"/>
                    <w:right w:w="28" w:type="dxa"/>
                  </w:tcMar>
                  <w:vAlign w:val="center"/>
                </w:tcPr>
                <w:p w14:paraId="26DC3C0A">
                  <w:pPr>
                    <w:pStyle w:val="41"/>
                    <w:rPr>
                      <w:color w:val="auto"/>
                    </w:rPr>
                  </w:pPr>
                  <w:r>
                    <w:rPr>
                      <w:rFonts w:hint="eastAsia"/>
                      <w:color w:val="auto"/>
                    </w:rPr>
                    <w:t>固体废物分类收集</w:t>
                  </w:r>
                </w:p>
              </w:tc>
            </w:tr>
            <w:tr w14:paraId="57C192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23" w:hRule="atLeast"/>
                <w:jc w:val="center"/>
              </w:trPr>
              <w:tc>
                <w:tcPr>
                  <w:tcW w:w="628" w:type="pct"/>
                  <w:vMerge w:val="continue"/>
                  <w:tcBorders>
                    <w:tl2br w:val="nil"/>
                    <w:tr2bl w:val="nil"/>
                  </w:tcBorders>
                  <w:tcMar>
                    <w:top w:w="0" w:type="dxa"/>
                    <w:left w:w="28" w:type="dxa"/>
                    <w:bottom w:w="0" w:type="dxa"/>
                    <w:right w:w="28" w:type="dxa"/>
                  </w:tcMar>
                  <w:vAlign w:val="center"/>
                </w:tcPr>
                <w:p w14:paraId="6B335922">
                  <w:pPr>
                    <w:pStyle w:val="41"/>
                    <w:rPr>
                      <w:color w:val="auto"/>
                    </w:rPr>
                  </w:pPr>
                </w:p>
              </w:tc>
              <w:tc>
                <w:tcPr>
                  <w:tcW w:w="453" w:type="pct"/>
                  <w:gridSpan w:val="2"/>
                  <w:vMerge w:val="continue"/>
                  <w:tcBorders>
                    <w:tl2br w:val="nil"/>
                    <w:tr2bl w:val="nil"/>
                  </w:tcBorders>
                  <w:tcMar>
                    <w:top w:w="0" w:type="dxa"/>
                    <w:left w:w="28" w:type="dxa"/>
                    <w:bottom w:w="0" w:type="dxa"/>
                    <w:right w:w="28" w:type="dxa"/>
                  </w:tcMar>
                  <w:vAlign w:val="center"/>
                </w:tcPr>
                <w:p w14:paraId="2BEF5E45">
                  <w:pPr>
                    <w:pStyle w:val="41"/>
                    <w:rPr>
                      <w:color w:val="auto"/>
                    </w:rPr>
                  </w:pPr>
                </w:p>
              </w:tc>
              <w:tc>
                <w:tcPr>
                  <w:tcW w:w="453" w:type="pct"/>
                  <w:tcBorders>
                    <w:tl2br w:val="nil"/>
                    <w:tr2bl w:val="nil"/>
                  </w:tcBorders>
                  <w:tcMar>
                    <w:top w:w="0" w:type="dxa"/>
                    <w:left w:w="28" w:type="dxa"/>
                    <w:bottom w:w="0" w:type="dxa"/>
                    <w:right w:w="28" w:type="dxa"/>
                  </w:tcMar>
                  <w:vAlign w:val="center"/>
                </w:tcPr>
                <w:p w14:paraId="19004CB8">
                  <w:pPr>
                    <w:pStyle w:val="41"/>
                    <w:rPr>
                      <w:color w:val="auto"/>
                    </w:rPr>
                  </w:pPr>
                  <w:r>
                    <w:rPr>
                      <w:rFonts w:hint="eastAsia"/>
                      <w:color w:val="auto"/>
                    </w:rPr>
                    <w:t>危废仓库</w:t>
                  </w:r>
                </w:p>
              </w:tc>
              <w:tc>
                <w:tcPr>
                  <w:tcW w:w="1490" w:type="pct"/>
                  <w:tcBorders>
                    <w:tl2br w:val="nil"/>
                    <w:tr2bl w:val="nil"/>
                  </w:tcBorders>
                  <w:tcMar>
                    <w:top w:w="0" w:type="dxa"/>
                    <w:left w:w="28" w:type="dxa"/>
                    <w:bottom w:w="0" w:type="dxa"/>
                    <w:right w:w="28" w:type="dxa"/>
                  </w:tcMar>
                  <w:vAlign w:val="center"/>
                </w:tcPr>
                <w:p w14:paraId="3B8BE58B">
                  <w:pPr>
                    <w:pStyle w:val="41"/>
                    <w:rPr>
                      <w:color w:val="auto"/>
                    </w:rPr>
                  </w:pPr>
                  <w:r>
                    <w:rPr>
                      <w:rFonts w:hint="eastAsia"/>
                      <w:color w:val="auto"/>
                    </w:rPr>
                    <w:t>10m</w:t>
                  </w:r>
                  <w:r>
                    <w:rPr>
                      <w:rFonts w:hint="eastAsia"/>
                      <w:color w:val="auto"/>
                      <w:vertAlign w:val="superscript"/>
                    </w:rPr>
                    <w:t>2</w:t>
                  </w:r>
                </w:p>
              </w:tc>
              <w:tc>
                <w:tcPr>
                  <w:tcW w:w="1974" w:type="pct"/>
                  <w:gridSpan w:val="2"/>
                  <w:vMerge w:val="continue"/>
                  <w:tcBorders>
                    <w:tl2br w:val="nil"/>
                    <w:tr2bl w:val="nil"/>
                  </w:tcBorders>
                  <w:tcMar>
                    <w:top w:w="0" w:type="dxa"/>
                    <w:left w:w="28" w:type="dxa"/>
                    <w:bottom w:w="0" w:type="dxa"/>
                    <w:right w:w="28" w:type="dxa"/>
                  </w:tcMar>
                  <w:vAlign w:val="center"/>
                </w:tcPr>
                <w:p w14:paraId="00F1CFE7">
                  <w:pPr>
                    <w:pStyle w:val="41"/>
                    <w:rPr>
                      <w:color w:val="auto"/>
                    </w:rPr>
                  </w:pPr>
                </w:p>
              </w:tc>
            </w:tr>
            <w:tr w14:paraId="467F06D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30" w:type="dxa"/>
                  <w:bottom w:w="0" w:type="dxa"/>
                  <w:right w:w="30" w:type="dxa"/>
                </w:tblCellMar>
              </w:tblPrEx>
              <w:trPr>
                <w:trHeight w:val="23" w:hRule="atLeast"/>
                <w:jc w:val="center"/>
              </w:trPr>
              <w:tc>
                <w:tcPr>
                  <w:tcW w:w="628" w:type="pct"/>
                  <w:vMerge w:val="continue"/>
                  <w:tcBorders>
                    <w:tl2br w:val="nil"/>
                    <w:tr2bl w:val="nil"/>
                  </w:tcBorders>
                  <w:tcMar>
                    <w:top w:w="0" w:type="dxa"/>
                    <w:left w:w="28" w:type="dxa"/>
                    <w:bottom w:w="0" w:type="dxa"/>
                    <w:right w:w="28" w:type="dxa"/>
                  </w:tcMar>
                  <w:vAlign w:val="center"/>
                </w:tcPr>
                <w:p w14:paraId="38202FEC">
                  <w:pPr>
                    <w:pStyle w:val="41"/>
                    <w:rPr>
                      <w:color w:val="auto"/>
                    </w:rPr>
                  </w:pPr>
                </w:p>
              </w:tc>
              <w:tc>
                <w:tcPr>
                  <w:tcW w:w="906" w:type="pct"/>
                  <w:gridSpan w:val="3"/>
                  <w:tcBorders>
                    <w:tl2br w:val="nil"/>
                    <w:tr2bl w:val="nil"/>
                  </w:tcBorders>
                  <w:tcMar>
                    <w:top w:w="0" w:type="dxa"/>
                    <w:left w:w="28" w:type="dxa"/>
                    <w:bottom w:w="0" w:type="dxa"/>
                    <w:right w:w="28" w:type="dxa"/>
                  </w:tcMar>
                  <w:vAlign w:val="center"/>
                </w:tcPr>
                <w:p w14:paraId="45DB49F9">
                  <w:pPr>
                    <w:pStyle w:val="41"/>
                    <w:rPr>
                      <w:color w:val="auto"/>
                    </w:rPr>
                  </w:pPr>
                  <w:r>
                    <w:rPr>
                      <w:rFonts w:hint="eastAsia"/>
                      <w:color w:val="auto"/>
                    </w:rPr>
                    <w:t>风险</w:t>
                  </w:r>
                </w:p>
              </w:tc>
              <w:tc>
                <w:tcPr>
                  <w:tcW w:w="1490" w:type="pct"/>
                  <w:tcBorders>
                    <w:tl2br w:val="nil"/>
                    <w:tr2bl w:val="nil"/>
                  </w:tcBorders>
                  <w:tcMar>
                    <w:top w:w="0" w:type="dxa"/>
                    <w:left w:w="28" w:type="dxa"/>
                    <w:bottom w:w="0" w:type="dxa"/>
                    <w:right w:w="28" w:type="dxa"/>
                  </w:tcMar>
                  <w:vAlign w:val="center"/>
                </w:tcPr>
                <w:p w14:paraId="08B1BC1D">
                  <w:pPr>
                    <w:pStyle w:val="41"/>
                    <w:rPr>
                      <w:color w:val="auto"/>
                    </w:rPr>
                  </w:pPr>
                  <w:r>
                    <w:rPr>
                      <w:rFonts w:hint="eastAsia"/>
                      <w:color w:val="auto"/>
                    </w:rPr>
                    <w:t>1</w:t>
                  </w:r>
                  <w:r>
                    <w:rPr>
                      <w:rFonts w:hint="eastAsia"/>
                      <w:color w:val="auto"/>
                      <w:lang w:val="en-US" w:eastAsia="zh-CN"/>
                    </w:rPr>
                    <w:t>2</w:t>
                  </w:r>
                  <w:r>
                    <w:rPr>
                      <w:rFonts w:hint="eastAsia"/>
                      <w:color w:val="auto"/>
                    </w:rPr>
                    <w:t>0m</w:t>
                  </w:r>
                  <w:r>
                    <w:rPr>
                      <w:rFonts w:hint="eastAsia"/>
                      <w:color w:val="auto"/>
                      <w:vertAlign w:val="superscript"/>
                    </w:rPr>
                    <w:t>3</w:t>
                  </w:r>
                </w:p>
              </w:tc>
              <w:tc>
                <w:tcPr>
                  <w:tcW w:w="1974" w:type="pct"/>
                  <w:gridSpan w:val="2"/>
                  <w:tcBorders>
                    <w:tl2br w:val="nil"/>
                    <w:tr2bl w:val="nil"/>
                  </w:tcBorders>
                  <w:tcMar>
                    <w:top w:w="0" w:type="dxa"/>
                    <w:left w:w="28" w:type="dxa"/>
                    <w:bottom w:w="0" w:type="dxa"/>
                    <w:right w:w="28" w:type="dxa"/>
                  </w:tcMar>
                  <w:vAlign w:val="center"/>
                </w:tcPr>
                <w:p w14:paraId="258A522B">
                  <w:pPr>
                    <w:pStyle w:val="41"/>
                    <w:rPr>
                      <w:color w:val="auto"/>
                    </w:rPr>
                  </w:pPr>
                  <w:r>
                    <w:rPr>
                      <w:rFonts w:hint="eastAsia"/>
                      <w:color w:val="auto"/>
                    </w:rPr>
                    <w:t>安装切换阀，满足事故废水收集需求</w:t>
                  </w:r>
                </w:p>
              </w:tc>
            </w:tr>
          </w:tbl>
          <w:p w14:paraId="12369AC3">
            <w:pPr>
              <w:ind w:firstLine="480" w:firstLineChars="200"/>
              <w:rPr>
                <w:bCs/>
                <w:color w:val="auto"/>
                <w:sz w:val="24"/>
              </w:rPr>
            </w:pPr>
            <w:r>
              <w:rPr>
                <w:rFonts w:hint="eastAsia"/>
                <w:bCs/>
                <w:color w:val="auto"/>
                <w:sz w:val="24"/>
              </w:rPr>
              <w:t>①雨污管网及排放口：</w:t>
            </w:r>
            <w:r>
              <w:rPr>
                <w:bCs/>
                <w:color w:val="auto"/>
                <w:sz w:val="24"/>
              </w:rPr>
              <w:t>江阴龙利达人造革有限公司</w:t>
            </w:r>
            <w:r>
              <w:rPr>
                <w:rFonts w:hint="eastAsia"/>
                <w:bCs/>
                <w:color w:val="auto"/>
                <w:sz w:val="24"/>
              </w:rPr>
              <w:t>厂内已按雨污分流原则建设管网，且雨污管网已经覆盖整个厂区，厂内已设置雨水排放口1个和污水接管口1个，生活污水依托厂内污水管网接入</w:t>
            </w:r>
            <w:r>
              <w:rPr>
                <w:bCs/>
                <w:color w:val="auto"/>
                <w:sz w:val="24"/>
              </w:rPr>
              <w:t>江阴市山泉污水处理厂</w:t>
            </w:r>
            <w:r>
              <w:rPr>
                <w:rFonts w:hint="eastAsia"/>
                <w:bCs/>
                <w:color w:val="auto"/>
                <w:sz w:val="24"/>
              </w:rPr>
              <w:t>集中处理。本项目不单独设置雨污管网和排放口，均依托</w:t>
            </w:r>
            <w:r>
              <w:rPr>
                <w:bCs/>
                <w:color w:val="auto"/>
                <w:sz w:val="24"/>
              </w:rPr>
              <w:t>江阴龙利达人造革有限公司</w:t>
            </w:r>
            <w:r>
              <w:rPr>
                <w:rFonts w:hint="eastAsia"/>
                <w:bCs/>
                <w:color w:val="auto"/>
                <w:sz w:val="24"/>
              </w:rPr>
              <w:t>现有排污口。</w:t>
            </w:r>
          </w:p>
          <w:p w14:paraId="53DBDBD8">
            <w:pPr>
              <w:ind w:firstLine="480" w:firstLineChars="200"/>
              <w:rPr>
                <w:bCs/>
                <w:color w:val="auto"/>
                <w:sz w:val="24"/>
              </w:rPr>
            </w:pPr>
            <w:r>
              <w:rPr>
                <w:rFonts w:hint="eastAsia"/>
                <w:bCs/>
                <w:color w:val="auto"/>
                <w:sz w:val="24"/>
              </w:rPr>
              <w:t>②本项目租用区域采用厂房隔声、设备隔声等措施、生产设备及废气处理设备的维护和管理均由本建设单位</w:t>
            </w:r>
            <w:r>
              <w:rPr>
                <w:bCs/>
                <w:color w:val="auto"/>
                <w:sz w:val="24"/>
              </w:rPr>
              <w:t>江阴市万超国际贸易有限公司</w:t>
            </w:r>
            <w:r>
              <w:rPr>
                <w:rFonts w:hint="eastAsia"/>
                <w:bCs/>
                <w:color w:val="auto"/>
                <w:sz w:val="24"/>
              </w:rPr>
              <w:t>负责。</w:t>
            </w:r>
            <w:r>
              <w:rPr>
                <w:bCs/>
                <w:color w:val="auto"/>
                <w:sz w:val="24"/>
              </w:rPr>
              <w:t>江阴市万超国际贸易有限公司</w:t>
            </w:r>
            <w:r>
              <w:rPr>
                <w:rFonts w:hint="eastAsia"/>
                <w:bCs/>
                <w:color w:val="auto"/>
                <w:sz w:val="24"/>
              </w:rPr>
              <w:t>为本项目的环保责任主体。</w:t>
            </w:r>
          </w:p>
          <w:p w14:paraId="348DBF5E">
            <w:pPr>
              <w:adjustRightInd w:val="0"/>
              <w:snapToGrid w:val="0"/>
              <w:spacing w:before="156" w:beforeLines="50"/>
              <w:rPr>
                <w:b/>
                <w:bCs/>
                <w:color w:val="auto"/>
                <w:sz w:val="24"/>
                <w:szCs w:val="24"/>
              </w:rPr>
            </w:pPr>
            <w:r>
              <w:rPr>
                <w:b/>
                <w:bCs/>
                <w:color w:val="auto"/>
                <w:sz w:val="24"/>
                <w:szCs w:val="24"/>
              </w:rPr>
              <w:t>3、原辅材料及理化性质</w:t>
            </w:r>
          </w:p>
          <w:p w14:paraId="3CF34115">
            <w:pPr>
              <w:ind w:firstLine="480" w:firstLineChars="200"/>
              <w:rPr>
                <w:bCs/>
                <w:color w:val="auto"/>
                <w:sz w:val="24"/>
              </w:rPr>
            </w:pPr>
            <w:r>
              <w:rPr>
                <w:bCs/>
                <w:color w:val="auto"/>
                <w:sz w:val="24"/>
              </w:rPr>
              <w:t>本项目原辅材料见表2-</w:t>
            </w:r>
            <w:r>
              <w:rPr>
                <w:rFonts w:hint="eastAsia"/>
                <w:bCs/>
                <w:color w:val="auto"/>
                <w:sz w:val="24"/>
              </w:rPr>
              <w:t>3</w:t>
            </w:r>
            <w:r>
              <w:rPr>
                <w:bCs/>
                <w:color w:val="auto"/>
                <w:sz w:val="24"/>
              </w:rPr>
              <w:t>，原辅材料理化性质见表2-</w:t>
            </w:r>
            <w:r>
              <w:rPr>
                <w:rFonts w:hint="eastAsia"/>
                <w:bCs/>
                <w:color w:val="auto"/>
                <w:sz w:val="24"/>
              </w:rPr>
              <w:t>4</w:t>
            </w:r>
            <w:r>
              <w:rPr>
                <w:bCs/>
                <w:color w:val="auto"/>
                <w:sz w:val="24"/>
              </w:rPr>
              <w:t>。</w:t>
            </w:r>
          </w:p>
          <w:p w14:paraId="5B14847D">
            <w:pPr>
              <w:pStyle w:val="43"/>
              <w:rPr>
                <w:color w:val="auto"/>
                <w:sz w:val="24"/>
                <w:szCs w:val="24"/>
              </w:rPr>
            </w:pPr>
          </w:p>
          <w:p w14:paraId="3D2BA2A6">
            <w:pPr>
              <w:pStyle w:val="43"/>
              <w:rPr>
                <w:color w:val="auto"/>
                <w:sz w:val="24"/>
                <w:szCs w:val="24"/>
              </w:rPr>
            </w:pPr>
          </w:p>
          <w:p w14:paraId="2F55C90F">
            <w:pPr>
              <w:pStyle w:val="43"/>
              <w:rPr>
                <w:color w:val="auto"/>
                <w:sz w:val="24"/>
                <w:szCs w:val="24"/>
              </w:rPr>
            </w:pPr>
          </w:p>
          <w:p w14:paraId="090F1E97">
            <w:pPr>
              <w:snapToGrid w:val="0"/>
              <w:spacing w:line="460" w:lineRule="exact"/>
              <w:ind w:firstLine="482" w:firstLineChars="200"/>
              <w:jc w:val="center"/>
              <w:rPr>
                <w:b/>
                <w:bCs/>
                <w:color w:val="auto"/>
                <w:sz w:val="24"/>
                <w:szCs w:val="24"/>
              </w:rPr>
            </w:pPr>
            <w:r>
              <w:rPr>
                <w:b/>
                <w:bCs/>
                <w:color w:val="auto"/>
                <w:sz w:val="24"/>
                <w:szCs w:val="24"/>
              </w:rPr>
              <w:t>表2-</w:t>
            </w:r>
            <w:r>
              <w:rPr>
                <w:rFonts w:hint="eastAsia"/>
                <w:b/>
                <w:bCs/>
                <w:color w:val="auto"/>
                <w:sz w:val="24"/>
                <w:szCs w:val="24"/>
              </w:rPr>
              <w:t>3</w:t>
            </w:r>
            <w:r>
              <w:rPr>
                <w:b/>
                <w:bCs/>
                <w:color w:val="auto"/>
                <w:sz w:val="24"/>
                <w:szCs w:val="24"/>
              </w:rPr>
              <w:t>本项目主要原辅材料表</w:t>
            </w:r>
          </w:p>
          <w:tbl>
            <w:tblPr>
              <w:tblStyle w:val="26"/>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086"/>
              <w:gridCol w:w="741"/>
              <w:gridCol w:w="1741"/>
              <w:gridCol w:w="1358"/>
              <w:gridCol w:w="1424"/>
              <w:gridCol w:w="965"/>
              <w:gridCol w:w="936"/>
            </w:tblGrid>
            <w:tr w14:paraId="4148D8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657" w:type="pct"/>
                  <w:tcBorders>
                    <w:tl2br w:val="nil"/>
                    <w:tr2bl w:val="nil"/>
                  </w:tcBorders>
                  <w:vAlign w:val="center"/>
                </w:tcPr>
                <w:p w14:paraId="24154E0A">
                  <w:pPr>
                    <w:spacing w:line="320" w:lineRule="exact"/>
                    <w:jc w:val="center"/>
                    <w:rPr>
                      <w:snapToGrid w:val="0"/>
                      <w:color w:val="auto"/>
                      <w:kern w:val="0"/>
                    </w:rPr>
                  </w:pPr>
                  <w:r>
                    <w:rPr>
                      <w:snapToGrid w:val="0"/>
                      <w:color w:val="auto"/>
                      <w:kern w:val="0"/>
                    </w:rPr>
                    <w:t>原辅料名称</w:t>
                  </w:r>
                </w:p>
              </w:tc>
              <w:tc>
                <w:tcPr>
                  <w:tcW w:w="449" w:type="pct"/>
                  <w:tcBorders>
                    <w:tl2br w:val="nil"/>
                    <w:tr2bl w:val="nil"/>
                  </w:tcBorders>
                  <w:vAlign w:val="center"/>
                </w:tcPr>
                <w:p w14:paraId="605F9E89">
                  <w:pPr>
                    <w:spacing w:line="320" w:lineRule="exact"/>
                    <w:jc w:val="center"/>
                    <w:rPr>
                      <w:snapToGrid w:val="0"/>
                      <w:color w:val="auto"/>
                      <w:kern w:val="0"/>
                    </w:rPr>
                  </w:pPr>
                  <w:r>
                    <w:rPr>
                      <w:snapToGrid w:val="0"/>
                      <w:color w:val="auto"/>
                      <w:kern w:val="0"/>
                    </w:rPr>
                    <w:t>状态</w:t>
                  </w:r>
                </w:p>
              </w:tc>
              <w:tc>
                <w:tcPr>
                  <w:tcW w:w="1054" w:type="pct"/>
                  <w:tcBorders>
                    <w:tl2br w:val="nil"/>
                    <w:tr2bl w:val="nil"/>
                  </w:tcBorders>
                  <w:vAlign w:val="center"/>
                </w:tcPr>
                <w:p w14:paraId="4F51E3DB">
                  <w:pPr>
                    <w:spacing w:line="320" w:lineRule="exact"/>
                    <w:jc w:val="center"/>
                    <w:rPr>
                      <w:snapToGrid w:val="0"/>
                      <w:color w:val="auto"/>
                      <w:kern w:val="0"/>
                    </w:rPr>
                  </w:pPr>
                  <w:r>
                    <w:rPr>
                      <w:snapToGrid w:val="0"/>
                      <w:color w:val="auto"/>
                      <w:kern w:val="0"/>
                    </w:rPr>
                    <w:t>成分、规格</w:t>
                  </w:r>
                </w:p>
              </w:tc>
              <w:tc>
                <w:tcPr>
                  <w:tcW w:w="822" w:type="pct"/>
                  <w:tcBorders>
                    <w:tl2br w:val="nil"/>
                    <w:tr2bl w:val="nil"/>
                  </w:tcBorders>
                  <w:vAlign w:val="center"/>
                </w:tcPr>
                <w:p w14:paraId="139F2C97">
                  <w:pPr>
                    <w:spacing w:line="320" w:lineRule="exact"/>
                    <w:jc w:val="center"/>
                    <w:rPr>
                      <w:snapToGrid w:val="0"/>
                      <w:color w:val="auto"/>
                      <w:kern w:val="0"/>
                    </w:rPr>
                  </w:pPr>
                  <w:r>
                    <w:rPr>
                      <w:snapToGrid w:val="0"/>
                      <w:color w:val="auto"/>
                      <w:kern w:val="0"/>
                    </w:rPr>
                    <w:t>年耗量（吨）</w:t>
                  </w:r>
                </w:p>
              </w:tc>
              <w:tc>
                <w:tcPr>
                  <w:tcW w:w="862" w:type="pct"/>
                  <w:tcBorders>
                    <w:tl2br w:val="nil"/>
                    <w:tr2bl w:val="nil"/>
                  </w:tcBorders>
                  <w:vAlign w:val="center"/>
                </w:tcPr>
                <w:p w14:paraId="5C7E6323">
                  <w:pPr>
                    <w:spacing w:line="280" w:lineRule="exact"/>
                    <w:jc w:val="center"/>
                    <w:rPr>
                      <w:snapToGrid w:val="0"/>
                      <w:color w:val="auto"/>
                      <w:kern w:val="0"/>
                    </w:rPr>
                  </w:pPr>
                  <w:r>
                    <w:rPr>
                      <w:snapToGrid w:val="0"/>
                      <w:color w:val="auto"/>
                      <w:kern w:val="0"/>
                    </w:rPr>
                    <w:t>最大存储量（吨）</w:t>
                  </w:r>
                </w:p>
              </w:tc>
              <w:tc>
                <w:tcPr>
                  <w:tcW w:w="585" w:type="pct"/>
                  <w:tcBorders>
                    <w:tl2br w:val="nil"/>
                    <w:tr2bl w:val="nil"/>
                  </w:tcBorders>
                  <w:vAlign w:val="center"/>
                </w:tcPr>
                <w:p w14:paraId="77AE1E16">
                  <w:pPr>
                    <w:spacing w:line="280" w:lineRule="exact"/>
                    <w:jc w:val="center"/>
                    <w:rPr>
                      <w:snapToGrid w:val="0"/>
                      <w:color w:val="auto"/>
                      <w:kern w:val="0"/>
                    </w:rPr>
                  </w:pPr>
                  <w:r>
                    <w:rPr>
                      <w:snapToGrid w:val="0"/>
                      <w:color w:val="auto"/>
                      <w:kern w:val="0"/>
                    </w:rPr>
                    <w:t>包装规格</w:t>
                  </w:r>
                </w:p>
              </w:tc>
              <w:tc>
                <w:tcPr>
                  <w:tcW w:w="567" w:type="pct"/>
                  <w:tcBorders>
                    <w:tl2br w:val="nil"/>
                    <w:tr2bl w:val="nil"/>
                  </w:tcBorders>
                  <w:vAlign w:val="center"/>
                </w:tcPr>
                <w:p w14:paraId="6DC5332B">
                  <w:pPr>
                    <w:spacing w:line="320" w:lineRule="exact"/>
                    <w:ind w:left="57" w:leftChars="27"/>
                    <w:jc w:val="center"/>
                    <w:rPr>
                      <w:snapToGrid w:val="0"/>
                      <w:color w:val="auto"/>
                      <w:kern w:val="0"/>
                    </w:rPr>
                  </w:pPr>
                  <w:r>
                    <w:rPr>
                      <w:snapToGrid w:val="0"/>
                      <w:color w:val="auto"/>
                      <w:kern w:val="0"/>
                    </w:rPr>
                    <w:t>来源及运输</w:t>
                  </w:r>
                </w:p>
              </w:tc>
            </w:tr>
            <w:tr w14:paraId="70B56D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657" w:type="pct"/>
                  <w:tcBorders>
                    <w:tl2br w:val="nil"/>
                    <w:tr2bl w:val="nil"/>
                  </w:tcBorders>
                  <w:vAlign w:val="center"/>
                </w:tcPr>
                <w:p w14:paraId="229940CA">
                  <w:pPr>
                    <w:pStyle w:val="41"/>
                    <w:jc w:val="center"/>
                    <w:rPr>
                      <w:color w:val="auto"/>
                    </w:rPr>
                  </w:pPr>
                  <w:r>
                    <w:rPr>
                      <w:rFonts w:hint="eastAsia"/>
                      <w:color w:val="auto"/>
                    </w:rPr>
                    <w:t>坯布</w:t>
                  </w:r>
                </w:p>
              </w:tc>
              <w:tc>
                <w:tcPr>
                  <w:tcW w:w="449" w:type="pct"/>
                  <w:tcBorders>
                    <w:tl2br w:val="nil"/>
                    <w:tr2bl w:val="nil"/>
                  </w:tcBorders>
                  <w:vAlign w:val="center"/>
                </w:tcPr>
                <w:p w14:paraId="6C573915">
                  <w:pPr>
                    <w:pStyle w:val="41"/>
                    <w:rPr>
                      <w:color w:val="auto"/>
                    </w:rPr>
                  </w:pPr>
                  <w:r>
                    <w:rPr>
                      <w:color w:val="auto"/>
                    </w:rPr>
                    <w:t>固态</w:t>
                  </w:r>
                </w:p>
              </w:tc>
              <w:tc>
                <w:tcPr>
                  <w:tcW w:w="1054" w:type="pct"/>
                  <w:tcBorders>
                    <w:tl2br w:val="nil"/>
                    <w:tr2bl w:val="nil"/>
                  </w:tcBorders>
                  <w:vAlign w:val="center"/>
                </w:tcPr>
                <w:p w14:paraId="6935C134">
                  <w:pPr>
                    <w:pStyle w:val="41"/>
                    <w:rPr>
                      <w:rFonts w:hint="eastAsia" w:eastAsia="宋体"/>
                      <w:color w:val="auto"/>
                      <w:lang w:val="en-US" w:eastAsia="zh-CN"/>
                    </w:rPr>
                  </w:pPr>
                  <w:r>
                    <w:rPr>
                      <w:color w:val="auto"/>
                    </w:rPr>
                    <w:t>已定型的化纤布</w:t>
                  </w:r>
                  <w:r>
                    <w:rPr>
                      <w:rFonts w:hint="eastAsia"/>
                      <w:color w:val="auto"/>
                      <w:lang w:eastAsia="zh-CN"/>
                    </w:rPr>
                    <w:t>（</w:t>
                  </w:r>
                  <w:r>
                    <w:rPr>
                      <w:rFonts w:hint="eastAsia"/>
                      <w:color w:val="auto"/>
                      <w:lang w:val="en-US" w:eastAsia="zh-CN"/>
                    </w:rPr>
                    <w:t>主要成分涤纶</w:t>
                  </w:r>
                  <w:r>
                    <w:rPr>
                      <w:rFonts w:hint="eastAsia"/>
                      <w:color w:val="auto"/>
                      <w:lang w:eastAsia="zh-CN"/>
                    </w:rPr>
                    <w:t>）</w:t>
                  </w:r>
                  <w:r>
                    <w:rPr>
                      <w:color w:val="auto"/>
                    </w:rPr>
                    <w:t>宽幅1.8米</w:t>
                  </w:r>
                  <w:r>
                    <w:rPr>
                      <w:rFonts w:hint="eastAsia"/>
                      <w:color w:val="auto"/>
                      <w:lang w:eastAsia="zh-CN"/>
                    </w:rPr>
                    <w:t>，</w:t>
                  </w:r>
                  <w:r>
                    <w:rPr>
                      <w:rFonts w:hint="eastAsia"/>
                      <w:color w:val="auto"/>
                      <w:lang w:val="en-US" w:eastAsia="zh-CN"/>
                    </w:rPr>
                    <w:t>138</w:t>
                  </w:r>
                  <w:r>
                    <w:rPr>
                      <w:color w:val="auto"/>
                    </w:rPr>
                    <w:t>g/m</w:t>
                  </w:r>
                  <w:r>
                    <w:rPr>
                      <w:rFonts w:hint="eastAsia"/>
                      <w:color w:val="auto"/>
                      <w:vertAlign w:val="superscript"/>
                    </w:rPr>
                    <w:t>2</w:t>
                  </w:r>
                </w:p>
              </w:tc>
              <w:tc>
                <w:tcPr>
                  <w:tcW w:w="822" w:type="pct"/>
                  <w:tcBorders>
                    <w:tl2br w:val="nil"/>
                    <w:tr2bl w:val="nil"/>
                  </w:tcBorders>
                  <w:vAlign w:val="center"/>
                </w:tcPr>
                <w:p w14:paraId="4E41DB5B">
                  <w:pPr>
                    <w:pStyle w:val="41"/>
                    <w:rPr>
                      <w:color w:val="auto"/>
                      <w:highlight w:val="green"/>
                    </w:rPr>
                  </w:pPr>
                  <w:r>
                    <w:rPr>
                      <w:rFonts w:hint="eastAsia"/>
                      <w:color w:val="auto"/>
                      <w:lang w:val="en-US" w:eastAsia="zh-CN"/>
                    </w:rPr>
                    <w:t>400.5</w:t>
                  </w:r>
                  <w:r>
                    <w:rPr>
                      <w:color w:val="auto"/>
                    </w:rPr>
                    <w:t>（万</w:t>
                  </w:r>
                  <w:r>
                    <w:rPr>
                      <w:rFonts w:hint="eastAsia"/>
                      <w:color w:val="auto"/>
                    </w:rPr>
                    <w:t>平方米</w:t>
                  </w:r>
                  <w:r>
                    <w:rPr>
                      <w:color w:val="auto"/>
                    </w:rPr>
                    <w:t>/年）</w:t>
                  </w:r>
                </w:p>
              </w:tc>
              <w:tc>
                <w:tcPr>
                  <w:tcW w:w="862" w:type="pct"/>
                  <w:tcBorders>
                    <w:tl2br w:val="nil"/>
                    <w:tr2bl w:val="nil"/>
                  </w:tcBorders>
                  <w:vAlign w:val="center"/>
                </w:tcPr>
                <w:p w14:paraId="4F890860">
                  <w:pPr>
                    <w:pStyle w:val="41"/>
                    <w:rPr>
                      <w:color w:val="auto"/>
                    </w:rPr>
                  </w:pPr>
                  <w:r>
                    <w:rPr>
                      <w:rFonts w:hint="eastAsia"/>
                      <w:color w:val="auto"/>
                    </w:rPr>
                    <w:t>5</w:t>
                  </w:r>
                  <w:r>
                    <w:rPr>
                      <w:color w:val="auto"/>
                    </w:rPr>
                    <w:t>（万</w:t>
                  </w:r>
                  <w:r>
                    <w:rPr>
                      <w:rFonts w:hint="eastAsia"/>
                      <w:color w:val="auto"/>
                    </w:rPr>
                    <w:t>平方米</w:t>
                  </w:r>
                  <w:r>
                    <w:rPr>
                      <w:color w:val="auto"/>
                    </w:rPr>
                    <w:t>/年）</w:t>
                  </w:r>
                </w:p>
              </w:tc>
              <w:tc>
                <w:tcPr>
                  <w:tcW w:w="585" w:type="pct"/>
                  <w:tcBorders>
                    <w:tl2br w:val="nil"/>
                    <w:tr2bl w:val="nil"/>
                  </w:tcBorders>
                  <w:vAlign w:val="center"/>
                </w:tcPr>
                <w:p w14:paraId="57132E4E">
                  <w:pPr>
                    <w:pStyle w:val="41"/>
                    <w:rPr>
                      <w:color w:val="auto"/>
                    </w:rPr>
                  </w:pPr>
                  <w:r>
                    <w:rPr>
                      <w:color w:val="auto"/>
                    </w:rPr>
                    <w:t>50米/卷</w:t>
                  </w:r>
                </w:p>
              </w:tc>
              <w:tc>
                <w:tcPr>
                  <w:tcW w:w="567" w:type="pct"/>
                  <w:tcBorders>
                    <w:tl2br w:val="nil"/>
                    <w:tr2bl w:val="nil"/>
                  </w:tcBorders>
                  <w:vAlign w:val="center"/>
                </w:tcPr>
                <w:p w14:paraId="15E4419A">
                  <w:pPr>
                    <w:pStyle w:val="41"/>
                    <w:rPr>
                      <w:color w:val="auto"/>
                    </w:rPr>
                  </w:pPr>
                  <w:r>
                    <w:rPr>
                      <w:color w:val="auto"/>
                    </w:rPr>
                    <w:t>外购，汽运</w:t>
                  </w:r>
                </w:p>
              </w:tc>
            </w:tr>
            <w:tr w14:paraId="3F11D2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98" w:hRule="atLeast"/>
                <w:jc w:val="center"/>
              </w:trPr>
              <w:tc>
                <w:tcPr>
                  <w:tcW w:w="657" w:type="pct"/>
                  <w:tcBorders>
                    <w:tl2br w:val="nil"/>
                    <w:tr2bl w:val="nil"/>
                  </w:tcBorders>
                  <w:vAlign w:val="center"/>
                </w:tcPr>
                <w:p w14:paraId="7B390520">
                  <w:pPr>
                    <w:pStyle w:val="41"/>
                    <w:rPr>
                      <w:color w:val="auto"/>
                    </w:rPr>
                  </w:pPr>
                  <w:r>
                    <w:rPr>
                      <w:color w:val="auto"/>
                    </w:rPr>
                    <w:t>原纸</w:t>
                  </w:r>
                </w:p>
              </w:tc>
              <w:tc>
                <w:tcPr>
                  <w:tcW w:w="449" w:type="pct"/>
                  <w:tcBorders>
                    <w:tl2br w:val="nil"/>
                    <w:tr2bl w:val="nil"/>
                  </w:tcBorders>
                  <w:vAlign w:val="center"/>
                </w:tcPr>
                <w:p w14:paraId="55869855">
                  <w:pPr>
                    <w:pStyle w:val="41"/>
                    <w:rPr>
                      <w:color w:val="auto"/>
                    </w:rPr>
                  </w:pPr>
                  <w:r>
                    <w:rPr>
                      <w:color w:val="auto"/>
                    </w:rPr>
                    <w:t>固态</w:t>
                  </w:r>
                </w:p>
              </w:tc>
              <w:tc>
                <w:tcPr>
                  <w:tcW w:w="1054" w:type="pct"/>
                  <w:tcBorders>
                    <w:tl2br w:val="nil"/>
                    <w:tr2bl w:val="nil"/>
                  </w:tcBorders>
                  <w:vAlign w:val="center"/>
                </w:tcPr>
                <w:p w14:paraId="278ECA86">
                  <w:pPr>
                    <w:pStyle w:val="41"/>
                    <w:rPr>
                      <w:color w:val="auto"/>
                    </w:rPr>
                  </w:pPr>
                  <w:r>
                    <w:rPr>
                      <w:rFonts w:hint="eastAsia"/>
                      <w:color w:val="auto"/>
                    </w:rPr>
                    <w:t>纸</w:t>
                  </w:r>
                </w:p>
              </w:tc>
              <w:tc>
                <w:tcPr>
                  <w:tcW w:w="822" w:type="pct"/>
                  <w:tcBorders>
                    <w:tl2br w:val="nil"/>
                    <w:tr2bl w:val="nil"/>
                  </w:tcBorders>
                  <w:vAlign w:val="center"/>
                </w:tcPr>
                <w:p w14:paraId="2BFC41C2">
                  <w:pPr>
                    <w:pStyle w:val="41"/>
                    <w:rPr>
                      <w:color w:val="auto"/>
                    </w:rPr>
                  </w:pPr>
                  <w:r>
                    <w:rPr>
                      <w:rFonts w:hint="eastAsia"/>
                      <w:color w:val="auto"/>
                    </w:rPr>
                    <w:t>324</w:t>
                  </w:r>
                </w:p>
              </w:tc>
              <w:tc>
                <w:tcPr>
                  <w:tcW w:w="862" w:type="pct"/>
                  <w:tcBorders>
                    <w:tl2br w:val="nil"/>
                    <w:tr2bl w:val="nil"/>
                  </w:tcBorders>
                  <w:vAlign w:val="center"/>
                </w:tcPr>
                <w:p w14:paraId="07738978">
                  <w:pPr>
                    <w:pStyle w:val="41"/>
                    <w:rPr>
                      <w:color w:val="auto"/>
                    </w:rPr>
                  </w:pPr>
                  <w:r>
                    <w:rPr>
                      <w:color w:val="auto"/>
                    </w:rPr>
                    <w:t>20</w:t>
                  </w:r>
                </w:p>
              </w:tc>
              <w:tc>
                <w:tcPr>
                  <w:tcW w:w="585" w:type="pct"/>
                  <w:tcBorders>
                    <w:tl2br w:val="nil"/>
                    <w:tr2bl w:val="nil"/>
                  </w:tcBorders>
                  <w:vAlign w:val="center"/>
                </w:tcPr>
                <w:p w14:paraId="766D79D6">
                  <w:pPr>
                    <w:pStyle w:val="41"/>
                    <w:rPr>
                      <w:color w:val="auto"/>
                    </w:rPr>
                  </w:pPr>
                  <w:r>
                    <w:rPr>
                      <w:color w:val="auto"/>
                    </w:rPr>
                    <w:t>50米/卷</w:t>
                  </w:r>
                </w:p>
              </w:tc>
              <w:tc>
                <w:tcPr>
                  <w:tcW w:w="567" w:type="pct"/>
                  <w:tcBorders>
                    <w:tl2br w:val="nil"/>
                    <w:tr2bl w:val="nil"/>
                  </w:tcBorders>
                  <w:vAlign w:val="center"/>
                </w:tcPr>
                <w:p w14:paraId="60E7FE40">
                  <w:pPr>
                    <w:pStyle w:val="41"/>
                    <w:rPr>
                      <w:color w:val="auto"/>
                    </w:rPr>
                  </w:pPr>
                  <w:r>
                    <w:rPr>
                      <w:color w:val="auto"/>
                    </w:rPr>
                    <w:t>外购，汽运</w:t>
                  </w:r>
                </w:p>
              </w:tc>
            </w:tr>
            <w:tr w14:paraId="035289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57" w:type="pct"/>
                  <w:tcBorders>
                    <w:tl2br w:val="nil"/>
                    <w:tr2bl w:val="nil"/>
                  </w:tcBorders>
                  <w:vAlign w:val="center"/>
                </w:tcPr>
                <w:p w14:paraId="29CB8F70">
                  <w:pPr>
                    <w:adjustRightInd w:val="0"/>
                    <w:snapToGrid w:val="0"/>
                    <w:spacing w:line="240" w:lineRule="auto"/>
                    <w:jc w:val="center"/>
                    <w:rPr>
                      <w:color w:val="auto"/>
                    </w:rPr>
                  </w:pPr>
                  <w:r>
                    <w:rPr>
                      <w:color w:val="auto"/>
                    </w:rPr>
                    <w:t>分散染料墨水-水性墨水</w:t>
                  </w:r>
                </w:p>
              </w:tc>
              <w:tc>
                <w:tcPr>
                  <w:tcW w:w="449" w:type="pct"/>
                  <w:tcBorders>
                    <w:tl2br w:val="nil"/>
                    <w:tr2bl w:val="nil"/>
                  </w:tcBorders>
                  <w:vAlign w:val="center"/>
                </w:tcPr>
                <w:p w14:paraId="014A80B3">
                  <w:pPr>
                    <w:spacing w:line="260" w:lineRule="exact"/>
                    <w:ind w:left="57" w:leftChars="27"/>
                    <w:jc w:val="center"/>
                    <w:rPr>
                      <w:snapToGrid w:val="0"/>
                      <w:color w:val="auto"/>
                      <w:kern w:val="0"/>
                    </w:rPr>
                  </w:pPr>
                  <w:r>
                    <w:rPr>
                      <w:snapToGrid w:val="0"/>
                      <w:color w:val="auto"/>
                      <w:kern w:val="0"/>
                    </w:rPr>
                    <w:t>液态</w:t>
                  </w:r>
                </w:p>
              </w:tc>
              <w:tc>
                <w:tcPr>
                  <w:tcW w:w="1054" w:type="pct"/>
                  <w:tcBorders>
                    <w:tl2br w:val="nil"/>
                    <w:tr2bl w:val="nil"/>
                  </w:tcBorders>
                  <w:vAlign w:val="center"/>
                </w:tcPr>
                <w:p w14:paraId="223811AB">
                  <w:pPr>
                    <w:spacing w:line="260" w:lineRule="exact"/>
                    <w:ind w:left="57" w:leftChars="27"/>
                    <w:jc w:val="center"/>
                    <w:rPr>
                      <w:snapToGrid w:val="0"/>
                      <w:color w:val="auto"/>
                      <w:kern w:val="0"/>
                    </w:rPr>
                  </w:pPr>
                  <w:r>
                    <w:rPr>
                      <w:rFonts w:hint="eastAsia"/>
                      <w:snapToGrid w:val="0"/>
                      <w:color w:val="auto"/>
                      <w:kern w:val="0"/>
                    </w:rPr>
                    <w:t>着色剂10％（（分散红60）17418-58-5；（分散黄54）12223-85-7；分散蓝359（62570-50-7））；其他有机材料2％（2,5,8,11-四甲基-6-十二炔-5,8-二醇）；甘油30％；乙二醇20％；水38％</w:t>
                  </w:r>
                </w:p>
              </w:tc>
              <w:tc>
                <w:tcPr>
                  <w:tcW w:w="822" w:type="pct"/>
                  <w:tcBorders>
                    <w:tl2br w:val="nil"/>
                    <w:tr2bl w:val="nil"/>
                  </w:tcBorders>
                  <w:vAlign w:val="center"/>
                </w:tcPr>
                <w:p w14:paraId="5C0AA144">
                  <w:pPr>
                    <w:jc w:val="center"/>
                    <w:rPr>
                      <w:snapToGrid w:val="0"/>
                      <w:color w:val="auto"/>
                      <w:kern w:val="0"/>
                    </w:rPr>
                  </w:pPr>
                  <w:r>
                    <w:rPr>
                      <w:rFonts w:hint="eastAsia"/>
                      <w:snapToGrid w:val="0"/>
                      <w:color w:val="auto"/>
                      <w:kern w:val="0"/>
                    </w:rPr>
                    <w:t>16</w:t>
                  </w:r>
                </w:p>
              </w:tc>
              <w:tc>
                <w:tcPr>
                  <w:tcW w:w="862" w:type="pct"/>
                  <w:tcBorders>
                    <w:tl2br w:val="nil"/>
                    <w:tr2bl w:val="nil"/>
                  </w:tcBorders>
                  <w:vAlign w:val="center"/>
                </w:tcPr>
                <w:p w14:paraId="1ED9925F">
                  <w:pPr>
                    <w:spacing w:line="260" w:lineRule="exact"/>
                    <w:jc w:val="center"/>
                    <w:rPr>
                      <w:snapToGrid w:val="0"/>
                      <w:color w:val="auto"/>
                      <w:kern w:val="0"/>
                    </w:rPr>
                  </w:pPr>
                  <w:r>
                    <w:rPr>
                      <w:rFonts w:hint="eastAsia"/>
                      <w:snapToGrid w:val="0"/>
                      <w:color w:val="auto"/>
                      <w:kern w:val="0"/>
                    </w:rPr>
                    <w:t>5</w:t>
                  </w:r>
                </w:p>
              </w:tc>
              <w:tc>
                <w:tcPr>
                  <w:tcW w:w="585" w:type="pct"/>
                  <w:tcBorders>
                    <w:tl2br w:val="nil"/>
                    <w:tr2bl w:val="nil"/>
                  </w:tcBorders>
                  <w:vAlign w:val="center"/>
                </w:tcPr>
                <w:p w14:paraId="1BD10E72">
                  <w:pPr>
                    <w:pStyle w:val="41"/>
                    <w:rPr>
                      <w:color w:val="auto"/>
                    </w:rPr>
                  </w:pPr>
                  <w:r>
                    <w:rPr>
                      <w:color w:val="auto"/>
                    </w:rPr>
                    <w:t>25kg/桶</w:t>
                  </w:r>
                </w:p>
              </w:tc>
              <w:tc>
                <w:tcPr>
                  <w:tcW w:w="567" w:type="pct"/>
                  <w:tcBorders>
                    <w:tl2br w:val="nil"/>
                    <w:tr2bl w:val="nil"/>
                  </w:tcBorders>
                  <w:vAlign w:val="center"/>
                </w:tcPr>
                <w:p w14:paraId="3E23ED47">
                  <w:pPr>
                    <w:pStyle w:val="41"/>
                    <w:rPr>
                      <w:color w:val="auto"/>
                    </w:rPr>
                  </w:pPr>
                  <w:r>
                    <w:rPr>
                      <w:color w:val="auto"/>
                    </w:rPr>
                    <w:t>外购，汽运</w:t>
                  </w:r>
                </w:p>
              </w:tc>
            </w:tr>
            <w:tr w14:paraId="0B186A4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657" w:type="pct"/>
                  <w:tcBorders>
                    <w:tl2br w:val="nil"/>
                    <w:tr2bl w:val="nil"/>
                  </w:tcBorders>
                  <w:vAlign w:val="center"/>
                </w:tcPr>
                <w:p w14:paraId="10784CE6">
                  <w:pPr>
                    <w:adjustRightInd w:val="0"/>
                    <w:snapToGrid w:val="0"/>
                    <w:spacing w:line="240" w:lineRule="auto"/>
                    <w:jc w:val="center"/>
                    <w:rPr>
                      <w:color w:val="auto"/>
                    </w:rPr>
                  </w:pPr>
                  <w:r>
                    <w:rPr>
                      <w:rFonts w:hint="eastAsia"/>
                      <w:color w:val="auto"/>
                    </w:rPr>
                    <w:t>机油</w:t>
                  </w:r>
                </w:p>
              </w:tc>
              <w:tc>
                <w:tcPr>
                  <w:tcW w:w="449" w:type="pct"/>
                  <w:tcBorders>
                    <w:tl2br w:val="nil"/>
                    <w:tr2bl w:val="nil"/>
                  </w:tcBorders>
                  <w:vAlign w:val="center"/>
                </w:tcPr>
                <w:p w14:paraId="722ADCFC">
                  <w:pPr>
                    <w:spacing w:line="260" w:lineRule="exact"/>
                    <w:ind w:left="57" w:leftChars="27"/>
                    <w:jc w:val="center"/>
                    <w:rPr>
                      <w:snapToGrid w:val="0"/>
                      <w:color w:val="auto"/>
                      <w:kern w:val="0"/>
                    </w:rPr>
                  </w:pPr>
                  <w:r>
                    <w:rPr>
                      <w:snapToGrid w:val="0"/>
                      <w:color w:val="auto"/>
                      <w:kern w:val="0"/>
                    </w:rPr>
                    <w:t>液态</w:t>
                  </w:r>
                </w:p>
              </w:tc>
              <w:tc>
                <w:tcPr>
                  <w:tcW w:w="1054" w:type="pct"/>
                  <w:tcBorders>
                    <w:tl2br w:val="nil"/>
                    <w:tr2bl w:val="nil"/>
                  </w:tcBorders>
                  <w:vAlign w:val="center"/>
                </w:tcPr>
                <w:p w14:paraId="716CA0B0">
                  <w:pPr>
                    <w:spacing w:line="260" w:lineRule="exact"/>
                    <w:ind w:left="57" w:leftChars="27"/>
                    <w:jc w:val="center"/>
                    <w:rPr>
                      <w:snapToGrid w:val="0"/>
                      <w:color w:val="auto"/>
                      <w:kern w:val="0"/>
                    </w:rPr>
                  </w:pPr>
                  <w:r>
                    <w:rPr>
                      <w:rFonts w:hint="eastAsia"/>
                      <w:snapToGrid w:val="0"/>
                      <w:color w:val="auto"/>
                      <w:kern w:val="0"/>
                    </w:rPr>
                    <w:t>矿物油</w:t>
                  </w:r>
                </w:p>
              </w:tc>
              <w:tc>
                <w:tcPr>
                  <w:tcW w:w="822" w:type="pct"/>
                  <w:tcBorders>
                    <w:tl2br w:val="nil"/>
                    <w:tr2bl w:val="nil"/>
                  </w:tcBorders>
                  <w:vAlign w:val="center"/>
                </w:tcPr>
                <w:p w14:paraId="6F5D6490">
                  <w:pPr>
                    <w:jc w:val="center"/>
                    <w:rPr>
                      <w:snapToGrid w:val="0"/>
                      <w:color w:val="auto"/>
                      <w:kern w:val="0"/>
                    </w:rPr>
                  </w:pPr>
                  <w:r>
                    <w:rPr>
                      <w:rFonts w:hint="eastAsia"/>
                      <w:snapToGrid w:val="0"/>
                      <w:color w:val="auto"/>
                      <w:kern w:val="0"/>
                    </w:rPr>
                    <w:t>0.25</w:t>
                  </w:r>
                </w:p>
              </w:tc>
              <w:tc>
                <w:tcPr>
                  <w:tcW w:w="862" w:type="pct"/>
                  <w:tcBorders>
                    <w:tl2br w:val="nil"/>
                    <w:tr2bl w:val="nil"/>
                  </w:tcBorders>
                  <w:vAlign w:val="center"/>
                </w:tcPr>
                <w:p w14:paraId="6CE7E66A">
                  <w:pPr>
                    <w:spacing w:line="260" w:lineRule="exact"/>
                    <w:jc w:val="center"/>
                    <w:rPr>
                      <w:snapToGrid w:val="0"/>
                      <w:color w:val="auto"/>
                      <w:kern w:val="0"/>
                    </w:rPr>
                  </w:pPr>
                  <w:r>
                    <w:rPr>
                      <w:rFonts w:hint="eastAsia"/>
                      <w:snapToGrid w:val="0"/>
                      <w:color w:val="auto"/>
                      <w:kern w:val="0"/>
                    </w:rPr>
                    <w:t>0.05</w:t>
                  </w:r>
                </w:p>
              </w:tc>
              <w:tc>
                <w:tcPr>
                  <w:tcW w:w="585" w:type="pct"/>
                  <w:tcBorders>
                    <w:tl2br w:val="nil"/>
                    <w:tr2bl w:val="nil"/>
                  </w:tcBorders>
                  <w:vAlign w:val="center"/>
                </w:tcPr>
                <w:p w14:paraId="177F6553">
                  <w:pPr>
                    <w:pStyle w:val="41"/>
                    <w:rPr>
                      <w:color w:val="auto"/>
                    </w:rPr>
                  </w:pPr>
                  <w:r>
                    <w:rPr>
                      <w:color w:val="auto"/>
                    </w:rPr>
                    <w:t>25kg/桶</w:t>
                  </w:r>
                </w:p>
              </w:tc>
              <w:tc>
                <w:tcPr>
                  <w:tcW w:w="567" w:type="pct"/>
                  <w:tcBorders>
                    <w:tl2br w:val="nil"/>
                    <w:tr2bl w:val="nil"/>
                  </w:tcBorders>
                  <w:vAlign w:val="center"/>
                </w:tcPr>
                <w:p w14:paraId="0D5EDB86">
                  <w:pPr>
                    <w:pStyle w:val="41"/>
                    <w:rPr>
                      <w:color w:val="auto"/>
                    </w:rPr>
                  </w:pPr>
                  <w:r>
                    <w:rPr>
                      <w:color w:val="auto"/>
                    </w:rPr>
                    <w:t>外购，汽运</w:t>
                  </w:r>
                </w:p>
              </w:tc>
            </w:tr>
          </w:tbl>
          <w:p w14:paraId="0946BD82">
            <w:pPr>
              <w:adjustRightInd w:val="0"/>
              <w:snapToGrid w:val="0"/>
              <w:spacing w:before="156" w:beforeLines="50"/>
              <w:rPr>
                <w:b/>
                <w:bCs/>
                <w:color w:val="auto"/>
                <w:sz w:val="24"/>
                <w:szCs w:val="24"/>
              </w:rPr>
            </w:pPr>
            <w:r>
              <w:rPr>
                <w:b/>
                <w:bCs/>
                <w:color w:val="auto"/>
                <w:sz w:val="24"/>
                <w:szCs w:val="24"/>
              </w:rPr>
              <w:t>4、主要设备</w:t>
            </w:r>
          </w:p>
          <w:p w14:paraId="79E0E8EF">
            <w:pPr>
              <w:adjustRightInd w:val="0"/>
              <w:snapToGrid w:val="0"/>
              <w:ind w:firstLine="480" w:firstLineChars="200"/>
              <w:rPr>
                <w:color w:val="auto"/>
                <w:sz w:val="24"/>
                <w:szCs w:val="24"/>
              </w:rPr>
            </w:pPr>
            <w:r>
              <w:rPr>
                <w:color w:val="auto"/>
                <w:sz w:val="24"/>
                <w:szCs w:val="24"/>
              </w:rPr>
              <w:t>本项目涉及的</w:t>
            </w:r>
            <w:r>
              <w:rPr>
                <w:color w:val="auto"/>
                <w:kern w:val="0"/>
                <w:sz w:val="24"/>
                <w:szCs w:val="24"/>
              </w:rPr>
              <w:t>主要设备见表2-6。</w:t>
            </w:r>
          </w:p>
          <w:p w14:paraId="44550851">
            <w:pPr>
              <w:spacing w:line="320" w:lineRule="exact"/>
              <w:jc w:val="center"/>
              <w:rPr>
                <w:rFonts w:eastAsiaTheme="majorEastAsia"/>
                <w:b/>
                <w:color w:val="auto"/>
                <w:sz w:val="24"/>
                <w:szCs w:val="24"/>
              </w:rPr>
            </w:pPr>
            <w:r>
              <w:rPr>
                <w:rFonts w:eastAsiaTheme="majorEastAsia"/>
                <w:b/>
                <w:color w:val="auto"/>
                <w:sz w:val="24"/>
                <w:szCs w:val="24"/>
              </w:rPr>
              <w:t>表2-</w:t>
            </w:r>
            <w:r>
              <w:rPr>
                <w:rFonts w:hint="eastAsia" w:eastAsiaTheme="majorEastAsia"/>
                <w:b/>
                <w:color w:val="auto"/>
                <w:sz w:val="24"/>
                <w:szCs w:val="24"/>
              </w:rPr>
              <w:t>6</w:t>
            </w:r>
            <w:r>
              <w:rPr>
                <w:rFonts w:eastAsiaTheme="majorEastAsia"/>
                <w:b/>
                <w:color w:val="auto"/>
                <w:sz w:val="24"/>
                <w:szCs w:val="24"/>
              </w:rPr>
              <w:t>主要生产设备</w:t>
            </w:r>
          </w:p>
          <w:tbl>
            <w:tblPr>
              <w:tblStyle w:val="2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650"/>
              <w:gridCol w:w="1077"/>
              <w:gridCol w:w="1752"/>
              <w:gridCol w:w="1937"/>
              <w:gridCol w:w="1673"/>
              <w:gridCol w:w="1167"/>
            </w:tblGrid>
            <w:tr w14:paraId="777CC2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tblHeader/>
                <w:jc w:val="center"/>
              </w:trPr>
              <w:tc>
                <w:tcPr>
                  <w:tcW w:w="393" w:type="pct"/>
                  <w:tcBorders>
                    <w:tl2br w:val="nil"/>
                    <w:tr2bl w:val="nil"/>
                  </w:tcBorders>
                  <w:vAlign w:val="center"/>
                </w:tcPr>
                <w:p w14:paraId="0D2CF00F">
                  <w:pPr>
                    <w:jc w:val="center"/>
                    <w:rPr>
                      <w:color w:val="auto"/>
                    </w:rPr>
                  </w:pPr>
                  <w:r>
                    <w:rPr>
                      <w:color w:val="auto"/>
                    </w:rPr>
                    <w:t>序号</w:t>
                  </w:r>
                </w:p>
              </w:tc>
              <w:tc>
                <w:tcPr>
                  <w:tcW w:w="652" w:type="pct"/>
                  <w:tcBorders>
                    <w:tl2br w:val="nil"/>
                    <w:tr2bl w:val="nil"/>
                  </w:tcBorders>
                  <w:vAlign w:val="center"/>
                </w:tcPr>
                <w:p w14:paraId="100220C1">
                  <w:pPr>
                    <w:jc w:val="center"/>
                    <w:rPr>
                      <w:color w:val="auto"/>
                    </w:rPr>
                  </w:pPr>
                  <w:r>
                    <w:rPr>
                      <w:rFonts w:hint="eastAsia"/>
                      <w:color w:val="auto"/>
                    </w:rPr>
                    <w:t>生产单元</w:t>
                  </w:r>
                </w:p>
              </w:tc>
              <w:tc>
                <w:tcPr>
                  <w:tcW w:w="1061" w:type="pct"/>
                  <w:tcBorders>
                    <w:tl2br w:val="nil"/>
                    <w:tr2bl w:val="nil"/>
                  </w:tcBorders>
                  <w:vAlign w:val="center"/>
                </w:tcPr>
                <w:p w14:paraId="3CAF5385">
                  <w:pPr>
                    <w:jc w:val="center"/>
                    <w:rPr>
                      <w:color w:val="auto"/>
                    </w:rPr>
                  </w:pPr>
                  <w:r>
                    <w:rPr>
                      <w:color w:val="auto"/>
                    </w:rPr>
                    <w:t>设备名称</w:t>
                  </w:r>
                </w:p>
              </w:tc>
              <w:tc>
                <w:tcPr>
                  <w:tcW w:w="1173" w:type="pct"/>
                  <w:tcBorders>
                    <w:tl2br w:val="nil"/>
                    <w:tr2bl w:val="nil"/>
                  </w:tcBorders>
                  <w:vAlign w:val="center"/>
                </w:tcPr>
                <w:p w14:paraId="2D23F321">
                  <w:pPr>
                    <w:jc w:val="center"/>
                    <w:rPr>
                      <w:color w:val="auto"/>
                    </w:rPr>
                  </w:pPr>
                  <w:r>
                    <w:rPr>
                      <w:color w:val="auto"/>
                    </w:rPr>
                    <w:t>规格型号</w:t>
                  </w:r>
                </w:p>
              </w:tc>
              <w:tc>
                <w:tcPr>
                  <w:tcW w:w="1011" w:type="pct"/>
                  <w:tcBorders>
                    <w:tl2br w:val="nil"/>
                    <w:tr2bl w:val="nil"/>
                  </w:tcBorders>
                  <w:vAlign w:val="center"/>
                </w:tcPr>
                <w:p w14:paraId="5732FC59">
                  <w:pPr>
                    <w:jc w:val="center"/>
                    <w:rPr>
                      <w:color w:val="auto"/>
                    </w:rPr>
                  </w:pPr>
                  <w:r>
                    <w:rPr>
                      <w:color w:val="auto"/>
                    </w:rPr>
                    <w:t>设备参数</w:t>
                  </w:r>
                </w:p>
              </w:tc>
              <w:tc>
                <w:tcPr>
                  <w:tcW w:w="707" w:type="pct"/>
                  <w:tcBorders>
                    <w:tl2br w:val="nil"/>
                    <w:tr2bl w:val="nil"/>
                  </w:tcBorders>
                  <w:vAlign w:val="center"/>
                </w:tcPr>
                <w:p w14:paraId="5A07C77C">
                  <w:pPr>
                    <w:spacing w:line="240" w:lineRule="exact"/>
                    <w:jc w:val="center"/>
                    <w:rPr>
                      <w:color w:val="auto"/>
                    </w:rPr>
                  </w:pPr>
                  <w:r>
                    <w:rPr>
                      <w:color w:val="auto"/>
                    </w:rPr>
                    <w:t>数量（台/套）</w:t>
                  </w:r>
                </w:p>
              </w:tc>
            </w:tr>
            <w:tr w14:paraId="31C4C7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tblHeader/>
                <w:jc w:val="center"/>
              </w:trPr>
              <w:tc>
                <w:tcPr>
                  <w:tcW w:w="393" w:type="pct"/>
                  <w:tcBorders>
                    <w:tl2br w:val="nil"/>
                    <w:tr2bl w:val="nil"/>
                  </w:tcBorders>
                  <w:vAlign w:val="center"/>
                </w:tcPr>
                <w:p w14:paraId="08303CEA">
                  <w:pPr>
                    <w:jc w:val="center"/>
                    <w:rPr>
                      <w:color w:val="auto"/>
                    </w:rPr>
                  </w:pPr>
                  <w:r>
                    <w:rPr>
                      <w:color w:val="auto"/>
                    </w:rPr>
                    <w:t>1</w:t>
                  </w:r>
                </w:p>
              </w:tc>
              <w:tc>
                <w:tcPr>
                  <w:tcW w:w="652" w:type="pct"/>
                  <w:vMerge w:val="restart"/>
                  <w:tcBorders>
                    <w:tl2br w:val="nil"/>
                    <w:tr2bl w:val="nil"/>
                  </w:tcBorders>
                  <w:vAlign w:val="center"/>
                </w:tcPr>
                <w:p w14:paraId="3D9D9714">
                  <w:pPr>
                    <w:jc w:val="center"/>
                    <w:rPr>
                      <w:color w:val="auto"/>
                      <w:kern w:val="0"/>
                    </w:rPr>
                  </w:pPr>
                  <w:r>
                    <w:rPr>
                      <w:rFonts w:hint="eastAsia"/>
                      <w:color w:val="auto"/>
                      <w:kern w:val="0"/>
                    </w:rPr>
                    <w:t>印花</w:t>
                  </w:r>
                  <w:r>
                    <w:rPr>
                      <w:color w:val="auto"/>
                      <w:kern w:val="0"/>
                    </w:rPr>
                    <w:t>单元</w:t>
                  </w:r>
                </w:p>
              </w:tc>
              <w:tc>
                <w:tcPr>
                  <w:tcW w:w="1061" w:type="pct"/>
                  <w:tcBorders>
                    <w:tl2br w:val="nil"/>
                    <w:tr2bl w:val="nil"/>
                  </w:tcBorders>
                  <w:vAlign w:val="center"/>
                </w:tcPr>
                <w:p w14:paraId="61B9AB56">
                  <w:pPr>
                    <w:jc w:val="center"/>
                    <w:rPr>
                      <w:color w:val="auto"/>
                      <w:kern w:val="0"/>
                    </w:rPr>
                  </w:pPr>
                  <w:r>
                    <w:rPr>
                      <w:color w:val="auto"/>
                      <w:kern w:val="0"/>
                    </w:rPr>
                    <w:t>热转移印花机</w:t>
                  </w:r>
                </w:p>
              </w:tc>
              <w:tc>
                <w:tcPr>
                  <w:tcW w:w="1173" w:type="pct"/>
                  <w:tcBorders>
                    <w:tl2br w:val="nil"/>
                    <w:tr2bl w:val="nil"/>
                  </w:tcBorders>
                  <w:vAlign w:val="center"/>
                </w:tcPr>
                <w:p w14:paraId="2AEEF09D">
                  <w:pPr>
                    <w:adjustRightInd w:val="0"/>
                    <w:snapToGrid w:val="0"/>
                    <w:jc w:val="center"/>
                    <w:rPr>
                      <w:color w:val="auto"/>
                    </w:rPr>
                  </w:pPr>
                  <w:r>
                    <w:rPr>
                      <w:color w:val="auto"/>
                    </w:rPr>
                    <w:t>PD-9512-1800</w:t>
                  </w:r>
                </w:p>
              </w:tc>
              <w:tc>
                <w:tcPr>
                  <w:tcW w:w="1011" w:type="pct"/>
                  <w:tcBorders>
                    <w:tl2br w:val="nil"/>
                    <w:tr2bl w:val="nil"/>
                  </w:tcBorders>
                  <w:vAlign w:val="center"/>
                </w:tcPr>
                <w:p w14:paraId="2B917FDE">
                  <w:pPr>
                    <w:adjustRightInd w:val="0"/>
                    <w:snapToGrid w:val="0"/>
                    <w:jc w:val="center"/>
                    <w:rPr>
                      <w:color w:val="auto"/>
                    </w:rPr>
                  </w:pPr>
                  <w:r>
                    <w:rPr>
                      <w:rFonts w:hint="eastAsia"/>
                      <w:color w:val="auto"/>
                    </w:rPr>
                    <w:t>20</w:t>
                  </w:r>
                  <w:r>
                    <w:rPr>
                      <w:color w:val="auto"/>
                    </w:rPr>
                    <w:t>m/min</w:t>
                  </w:r>
                </w:p>
              </w:tc>
              <w:tc>
                <w:tcPr>
                  <w:tcW w:w="707" w:type="pct"/>
                  <w:tcBorders>
                    <w:tl2br w:val="nil"/>
                    <w:tr2bl w:val="nil"/>
                  </w:tcBorders>
                  <w:vAlign w:val="center"/>
                </w:tcPr>
                <w:p w14:paraId="07E33068">
                  <w:pPr>
                    <w:jc w:val="center"/>
                    <w:rPr>
                      <w:color w:val="auto"/>
                    </w:rPr>
                  </w:pPr>
                  <w:r>
                    <w:rPr>
                      <w:rFonts w:hint="eastAsia"/>
                      <w:color w:val="auto"/>
                    </w:rPr>
                    <w:t>2</w:t>
                  </w:r>
                </w:p>
              </w:tc>
            </w:tr>
            <w:tr w14:paraId="5B3D12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tblHeader/>
                <w:jc w:val="center"/>
              </w:trPr>
              <w:tc>
                <w:tcPr>
                  <w:tcW w:w="393" w:type="pct"/>
                  <w:tcBorders>
                    <w:tl2br w:val="nil"/>
                    <w:tr2bl w:val="nil"/>
                  </w:tcBorders>
                  <w:vAlign w:val="center"/>
                </w:tcPr>
                <w:p w14:paraId="6528F1F2">
                  <w:pPr>
                    <w:jc w:val="center"/>
                    <w:rPr>
                      <w:color w:val="auto"/>
                    </w:rPr>
                  </w:pPr>
                  <w:r>
                    <w:rPr>
                      <w:color w:val="auto"/>
                    </w:rPr>
                    <w:t>2</w:t>
                  </w:r>
                </w:p>
              </w:tc>
              <w:tc>
                <w:tcPr>
                  <w:tcW w:w="652" w:type="pct"/>
                  <w:vMerge w:val="continue"/>
                  <w:tcBorders>
                    <w:tl2br w:val="nil"/>
                    <w:tr2bl w:val="nil"/>
                  </w:tcBorders>
                  <w:vAlign w:val="center"/>
                </w:tcPr>
                <w:p w14:paraId="6ED6BCCF">
                  <w:pPr>
                    <w:jc w:val="center"/>
                    <w:rPr>
                      <w:color w:val="auto"/>
                    </w:rPr>
                  </w:pPr>
                </w:p>
              </w:tc>
              <w:tc>
                <w:tcPr>
                  <w:tcW w:w="1061" w:type="pct"/>
                  <w:tcBorders>
                    <w:tl2br w:val="nil"/>
                    <w:tr2bl w:val="nil"/>
                  </w:tcBorders>
                  <w:vAlign w:val="center"/>
                </w:tcPr>
                <w:p w14:paraId="3F16409E">
                  <w:pPr>
                    <w:jc w:val="center"/>
                    <w:rPr>
                      <w:color w:val="auto"/>
                    </w:rPr>
                  </w:pPr>
                  <w:r>
                    <w:rPr>
                      <w:color w:val="auto"/>
                    </w:rPr>
                    <w:t>数码打印机</w:t>
                  </w:r>
                </w:p>
              </w:tc>
              <w:tc>
                <w:tcPr>
                  <w:tcW w:w="1173" w:type="pct"/>
                  <w:tcBorders>
                    <w:tl2br w:val="nil"/>
                    <w:tr2bl w:val="nil"/>
                  </w:tcBorders>
                  <w:vAlign w:val="center"/>
                </w:tcPr>
                <w:p w14:paraId="53B9CB22">
                  <w:pPr>
                    <w:adjustRightInd w:val="0"/>
                    <w:snapToGrid w:val="0"/>
                    <w:jc w:val="center"/>
                    <w:rPr>
                      <w:color w:val="auto"/>
                      <w:kern w:val="0"/>
                    </w:rPr>
                  </w:pPr>
                  <w:r>
                    <w:rPr>
                      <w:color w:val="auto"/>
                      <w:kern w:val="0"/>
                    </w:rPr>
                    <w:t>24头i3200A1</w:t>
                  </w:r>
                </w:p>
              </w:tc>
              <w:tc>
                <w:tcPr>
                  <w:tcW w:w="1011" w:type="pct"/>
                  <w:tcBorders>
                    <w:tl2br w:val="nil"/>
                    <w:tr2bl w:val="nil"/>
                  </w:tcBorders>
                  <w:vAlign w:val="center"/>
                </w:tcPr>
                <w:p w14:paraId="19B2BA1C">
                  <w:pPr>
                    <w:adjustRightInd w:val="0"/>
                    <w:snapToGrid w:val="0"/>
                    <w:jc w:val="center"/>
                    <w:rPr>
                      <w:color w:val="auto"/>
                    </w:rPr>
                  </w:pPr>
                  <w:r>
                    <w:rPr>
                      <w:color w:val="auto"/>
                    </w:rPr>
                    <w:t>450m</w:t>
                  </w:r>
                  <w:r>
                    <w:rPr>
                      <w:rFonts w:hint="eastAsia"/>
                      <w:color w:val="auto"/>
                      <w:vertAlign w:val="superscript"/>
                    </w:rPr>
                    <w:t>2</w:t>
                  </w:r>
                  <w:r>
                    <w:rPr>
                      <w:color w:val="auto"/>
                    </w:rPr>
                    <w:t>/h</w:t>
                  </w:r>
                </w:p>
              </w:tc>
              <w:tc>
                <w:tcPr>
                  <w:tcW w:w="707" w:type="pct"/>
                  <w:tcBorders>
                    <w:tl2br w:val="nil"/>
                    <w:tr2bl w:val="nil"/>
                  </w:tcBorders>
                  <w:vAlign w:val="center"/>
                </w:tcPr>
                <w:p w14:paraId="789A8714">
                  <w:pPr>
                    <w:jc w:val="center"/>
                    <w:rPr>
                      <w:color w:val="auto"/>
                    </w:rPr>
                  </w:pPr>
                  <w:r>
                    <w:rPr>
                      <w:rFonts w:hint="eastAsia"/>
                      <w:color w:val="auto"/>
                    </w:rPr>
                    <w:t>4</w:t>
                  </w:r>
                </w:p>
              </w:tc>
            </w:tr>
            <w:tr w14:paraId="69C1153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tblHeader/>
                <w:jc w:val="center"/>
              </w:trPr>
              <w:tc>
                <w:tcPr>
                  <w:tcW w:w="4292" w:type="pct"/>
                  <w:gridSpan w:val="5"/>
                  <w:tcBorders>
                    <w:tl2br w:val="nil"/>
                    <w:tr2bl w:val="nil"/>
                  </w:tcBorders>
                  <w:vAlign w:val="center"/>
                </w:tcPr>
                <w:p w14:paraId="50F541B0">
                  <w:pPr>
                    <w:jc w:val="center"/>
                    <w:rPr>
                      <w:color w:val="auto"/>
                    </w:rPr>
                  </w:pPr>
                  <w:r>
                    <w:rPr>
                      <w:color w:val="auto"/>
                    </w:rPr>
                    <w:t>合计</w:t>
                  </w:r>
                </w:p>
              </w:tc>
              <w:tc>
                <w:tcPr>
                  <w:tcW w:w="707" w:type="pct"/>
                  <w:tcBorders>
                    <w:tl2br w:val="nil"/>
                    <w:tr2bl w:val="nil"/>
                  </w:tcBorders>
                  <w:vAlign w:val="center"/>
                </w:tcPr>
                <w:p w14:paraId="6BE5CB9C">
                  <w:pPr>
                    <w:jc w:val="center"/>
                    <w:rPr>
                      <w:color w:val="auto"/>
                    </w:rPr>
                  </w:pPr>
                  <w:r>
                    <w:rPr>
                      <w:rFonts w:hint="eastAsia"/>
                      <w:color w:val="auto"/>
                    </w:rPr>
                    <w:t>6</w:t>
                  </w:r>
                </w:p>
              </w:tc>
            </w:tr>
          </w:tbl>
          <w:p w14:paraId="4C8B52D7">
            <w:pPr>
              <w:rPr>
                <w:b/>
                <w:bCs/>
                <w:color w:val="auto"/>
                <w:sz w:val="24"/>
                <w:szCs w:val="24"/>
              </w:rPr>
            </w:pPr>
            <w:r>
              <w:rPr>
                <w:b/>
                <w:bCs/>
                <w:color w:val="auto"/>
                <w:sz w:val="24"/>
                <w:szCs w:val="24"/>
              </w:rPr>
              <w:t>5、建设项目地理位置、厂区平面布置及厂界周围500米土地利用现状</w:t>
            </w:r>
          </w:p>
          <w:p w14:paraId="17F5E876">
            <w:pPr>
              <w:adjustRightInd w:val="0"/>
              <w:snapToGrid w:val="0"/>
              <w:ind w:firstLine="480" w:firstLineChars="200"/>
              <w:rPr>
                <w:color w:val="auto"/>
                <w:kern w:val="0"/>
                <w:sz w:val="24"/>
                <w:szCs w:val="24"/>
              </w:rPr>
            </w:pPr>
            <w:r>
              <w:rPr>
                <w:color w:val="auto"/>
                <w:kern w:val="0"/>
                <w:sz w:val="24"/>
                <w:szCs w:val="24"/>
              </w:rPr>
              <w:t>地理位置：本项目建设地位于江阴市周庄镇澄杨路1507号，具体地理位置见附图1。</w:t>
            </w:r>
          </w:p>
          <w:p w14:paraId="4FE3AEFD">
            <w:pPr>
              <w:adjustRightInd w:val="0"/>
              <w:snapToGrid w:val="0"/>
              <w:ind w:firstLine="480" w:firstLineChars="200"/>
              <w:rPr>
                <w:color w:val="auto"/>
                <w:kern w:val="0"/>
                <w:sz w:val="24"/>
                <w:szCs w:val="24"/>
              </w:rPr>
            </w:pPr>
            <w:r>
              <w:rPr>
                <w:color w:val="auto"/>
                <w:kern w:val="0"/>
                <w:sz w:val="24"/>
                <w:szCs w:val="24"/>
              </w:rPr>
              <w:t>厂区平面布置：</w:t>
            </w:r>
            <w:r>
              <w:rPr>
                <w:rFonts w:hint="eastAsia"/>
                <w:color w:val="auto"/>
                <w:kern w:val="0"/>
                <w:sz w:val="24"/>
                <w:szCs w:val="24"/>
              </w:rPr>
              <w:t>本项目租赁</w:t>
            </w:r>
            <w:r>
              <w:rPr>
                <w:color w:val="auto"/>
                <w:kern w:val="0"/>
                <w:sz w:val="24"/>
                <w:szCs w:val="24"/>
              </w:rPr>
              <w:t>江阴龙利达人造革有限公司600㎡</w:t>
            </w:r>
            <w:r>
              <w:rPr>
                <w:rFonts w:hint="eastAsia"/>
                <w:color w:val="auto"/>
                <w:kern w:val="0"/>
                <w:sz w:val="24"/>
                <w:szCs w:val="24"/>
              </w:rPr>
              <w:t>闲置厂房进行建设，按照生产特点及工艺需求，</w:t>
            </w:r>
            <w:r>
              <w:rPr>
                <w:color w:val="auto"/>
                <w:kern w:val="0"/>
                <w:sz w:val="24"/>
                <w:szCs w:val="24"/>
              </w:rPr>
              <w:t>由南向北依次为</w:t>
            </w:r>
            <w:r>
              <w:rPr>
                <w:rFonts w:hint="eastAsia"/>
                <w:color w:val="auto"/>
                <w:kern w:val="0"/>
                <w:sz w:val="24"/>
                <w:szCs w:val="24"/>
              </w:rPr>
              <w:t>原料区</w:t>
            </w:r>
            <w:r>
              <w:rPr>
                <w:color w:val="auto"/>
                <w:kern w:val="0"/>
                <w:sz w:val="24"/>
                <w:szCs w:val="24"/>
              </w:rPr>
              <w:t>、</w:t>
            </w:r>
            <w:r>
              <w:rPr>
                <w:rFonts w:hint="eastAsia"/>
                <w:color w:val="auto"/>
                <w:kern w:val="0"/>
                <w:sz w:val="24"/>
                <w:szCs w:val="24"/>
              </w:rPr>
              <w:t>成品区</w:t>
            </w:r>
            <w:r>
              <w:rPr>
                <w:color w:val="auto"/>
                <w:kern w:val="0"/>
                <w:sz w:val="24"/>
                <w:szCs w:val="24"/>
              </w:rPr>
              <w:t>、生产区、墨水中间库</w:t>
            </w:r>
            <w:r>
              <w:rPr>
                <w:rFonts w:hint="eastAsia"/>
                <w:color w:val="auto"/>
                <w:kern w:val="0"/>
                <w:sz w:val="24"/>
                <w:szCs w:val="24"/>
              </w:rPr>
              <w:t>、</w:t>
            </w:r>
            <w:r>
              <w:rPr>
                <w:color w:val="auto"/>
                <w:kern w:val="0"/>
                <w:sz w:val="24"/>
                <w:szCs w:val="24"/>
              </w:rPr>
              <w:t>危废仓库等，具体见附图</w:t>
            </w:r>
            <w:r>
              <w:rPr>
                <w:rFonts w:hint="eastAsia"/>
                <w:color w:val="auto"/>
                <w:kern w:val="0"/>
                <w:sz w:val="24"/>
                <w:szCs w:val="24"/>
              </w:rPr>
              <w:t>2</w:t>
            </w:r>
            <w:r>
              <w:rPr>
                <w:color w:val="auto"/>
                <w:kern w:val="0"/>
                <w:sz w:val="24"/>
                <w:szCs w:val="24"/>
              </w:rPr>
              <w:t>。</w:t>
            </w:r>
          </w:p>
          <w:p w14:paraId="6CBCFB9F">
            <w:pPr>
              <w:adjustRightInd w:val="0"/>
              <w:snapToGrid w:val="0"/>
              <w:ind w:firstLine="480" w:firstLineChars="200"/>
              <w:rPr>
                <w:color w:val="auto"/>
                <w:kern w:val="0"/>
                <w:sz w:val="24"/>
                <w:szCs w:val="24"/>
              </w:rPr>
            </w:pPr>
            <w:r>
              <w:rPr>
                <w:color w:val="auto"/>
                <w:kern w:val="0"/>
                <w:sz w:val="24"/>
                <w:szCs w:val="24"/>
              </w:rPr>
              <w:t>厂界周围500米土地利用现状：</w:t>
            </w:r>
            <w:r>
              <w:rPr>
                <w:rFonts w:hint="eastAsia"/>
                <w:color w:val="auto"/>
                <w:kern w:val="0"/>
                <w:sz w:val="24"/>
                <w:szCs w:val="24"/>
              </w:rPr>
              <w:t>本项目利用</w:t>
            </w:r>
            <w:r>
              <w:rPr>
                <w:color w:val="auto"/>
                <w:kern w:val="0"/>
                <w:sz w:val="24"/>
                <w:szCs w:val="24"/>
              </w:rPr>
              <w:t>江阴龙利达人造革有限公司</w:t>
            </w:r>
            <w:r>
              <w:rPr>
                <w:rFonts w:hint="eastAsia"/>
                <w:color w:val="auto"/>
                <w:kern w:val="0"/>
                <w:sz w:val="24"/>
                <w:szCs w:val="24"/>
              </w:rPr>
              <w:t>厂房，厂界西侧为江苏鸿杰铝业科技有限公司，厂界北侧隔龙山支路为江苏聚海合金科技有限公司，东侧隔龙山路为江阴名旭模塑有限公司，南侧隔长青路为空地，</w:t>
            </w:r>
            <w:r>
              <w:rPr>
                <w:color w:val="auto"/>
                <w:kern w:val="0"/>
                <w:sz w:val="24"/>
                <w:szCs w:val="24"/>
              </w:rPr>
              <w:t>具体见附图</w:t>
            </w:r>
            <w:r>
              <w:rPr>
                <w:rFonts w:hint="eastAsia"/>
                <w:color w:val="auto"/>
                <w:kern w:val="0"/>
                <w:sz w:val="24"/>
                <w:szCs w:val="24"/>
              </w:rPr>
              <w:t>3。</w:t>
            </w:r>
          </w:p>
          <w:p w14:paraId="290DE931">
            <w:pPr>
              <w:adjustRightInd w:val="0"/>
              <w:snapToGrid w:val="0"/>
              <w:rPr>
                <w:b/>
                <w:bCs/>
                <w:color w:val="auto"/>
                <w:sz w:val="24"/>
                <w:szCs w:val="24"/>
              </w:rPr>
            </w:pPr>
            <w:r>
              <w:rPr>
                <w:b/>
                <w:bCs/>
                <w:color w:val="auto"/>
                <w:sz w:val="24"/>
                <w:szCs w:val="24"/>
              </w:rPr>
              <w:t>6、劳动定员及工作制度</w:t>
            </w:r>
          </w:p>
          <w:p w14:paraId="15B7BBF8">
            <w:pPr>
              <w:adjustRightInd w:val="0"/>
              <w:snapToGrid w:val="0"/>
              <w:ind w:firstLine="480" w:firstLineChars="200"/>
              <w:rPr>
                <w:color w:val="auto"/>
                <w:sz w:val="24"/>
                <w:szCs w:val="24"/>
              </w:rPr>
            </w:pPr>
            <w:r>
              <w:rPr>
                <w:color w:val="auto"/>
                <w:sz w:val="24"/>
                <w:szCs w:val="24"/>
              </w:rPr>
              <w:t>劳动定员：</w:t>
            </w:r>
            <w:r>
              <w:rPr>
                <w:rFonts w:hint="eastAsia"/>
                <w:color w:val="auto"/>
                <w:sz w:val="24"/>
                <w:szCs w:val="24"/>
              </w:rPr>
              <w:t>新增</w:t>
            </w:r>
            <w:r>
              <w:rPr>
                <w:color w:val="auto"/>
                <w:sz w:val="24"/>
                <w:szCs w:val="24"/>
              </w:rPr>
              <w:t>劳动定员</w:t>
            </w:r>
            <w:r>
              <w:rPr>
                <w:rFonts w:hint="eastAsia"/>
                <w:color w:val="auto"/>
                <w:sz w:val="24"/>
                <w:szCs w:val="24"/>
              </w:rPr>
              <w:t>10</w:t>
            </w:r>
            <w:r>
              <w:rPr>
                <w:color w:val="auto"/>
                <w:sz w:val="24"/>
                <w:szCs w:val="24"/>
              </w:rPr>
              <w:t>人。</w:t>
            </w:r>
          </w:p>
          <w:p w14:paraId="44B2D14A">
            <w:pPr>
              <w:adjustRightInd w:val="0"/>
              <w:snapToGrid w:val="0"/>
              <w:ind w:firstLine="480" w:firstLineChars="200"/>
              <w:rPr>
                <w:color w:val="auto"/>
                <w:sz w:val="24"/>
                <w:szCs w:val="24"/>
              </w:rPr>
            </w:pPr>
            <w:r>
              <w:rPr>
                <w:color w:val="auto"/>
                <w:sz w:val="24"/>
                <w:szCs w:val="24"/>
              </w:rPr>
              <w:t>工作制度：</w:t>
            </w:r>
            <w:r>
              <w:rPr>
                <w:color w:val="auto"/>
                <w:sz w:val="24"/>
              </w:rPr>
              <w:t>该公司实行昼间</w:t>
            </w:r>
            <w:r>
              <w:rPr>
                <w:rFonts w:hint="eastAsia"/>
                <w:color w:val="auto"/>
                <w:sz w:val="24"/>
              </w:rPr>
              <w:t>一</w:t>
            </w:r>
            <w:r>
              <w:rPr>
                <w:color w:val="auto"/>
                <w:sz w:val="24"/>
              </w:rPr>
              <w:t>班</w:t>
            </w:r>
            <w:r>
              <w:rPr>
                <w:rFonts w:hint="eastAsia"/>
                <w:color w:val="auto"/>
                <w:sz w:val="24"/>
              </w:rPr>
              <w:t>8</w:t>
            </w:r>
            <w:r>
              <w:rPr>
                <w:color w:val="auto"/>
                <w:sz w:val="24"/>
              </w:rPr>
              <w:t>小时工作制，具体工作时间为8:00-17:00，</w:t>
            </w:r>
            <w:r>
              <w:rPr>
                <w:rFonts w:hint="eastAsia"/>
                <w:color w:val="auto"/>
                <w:sz w:val="24"/>
              </w:rPr>
              <w:t>中午休息1小时，</w:t>
            </w:r>
            <w:r>
              <w:rPr>
                <w:color w:val="auto"/>
                <w:sz w:val="24"/>
              </w:rPr>
              <w:t>年有效工作日为300天。</w:t>
            </w:r>
            <w:r>
              <w:rPr>
                <w:rFonts w:hint="eastAsia"/>
                <w:color w:val="auto"/>
                <w:sz w:val="24"/>
              </w:rPr>
              <w:t>（无宿舍、浴室）</w:t>
            </w:r>
          </w:p>
          <w:p w14:paraId="1B13E691">
            <w:pPr>
              <w:rPr>
                <w:b/>
                <w:bCs/>
                <w:color w:val="auto"/>
                <w:sz w:val="24"/>
                <w:szCs w:val="24"/>
              </w:rPr>
            </w:pPr>
            <w:r>
              <w:rPr>
                <w:b/>
                <w:bCs/>
                <w:color w:val="auto"/>
                <w:sz w:val="24"/>
                <w:szCs w:val="24"/>
              </w:rPr>
              <w:t>7、水平衡</w:t>
            </w:r>
          </w:p>
          <w:p w14:paraId="6581049E">
            <w:pPr>
              <w:adjustRightInd w:val="0"/>
              <w:snapToGrid w:val="0"/>
              <w:ind w:firstLine="480" w:firstLineChars="200"/>
              <w:rPr>
                <w:color w:val="auto"/>
                <w:kern w:val="0"/>
                <w:sz w:val="24"/>
                <w:szCs w:val="24"/>
              </w:rPr>
            </w:pPr>
            <w:r>
              <w:rPr>
                <w:color w:val="auto"/>
                <w:kern w:val="0"/>
                <w:sz w:val="24"/>
                <w:szCs w:val="24"/>
              </w:rPr>
              <w:t>本项目用水主要为</w:t>
            </w:r>
            <w:r>
              <w:rPr>
                <w:bCs/>
                <w:color w:val="auto"/>
                <w:sz w:val="24"/>
              </w:rPr>
              <w:t>职工生活用水</w:t>
            </w:r>
            <w:r>
              <w:rPr>
                <w:rFonts w:hint="eastAsia"/>
                <w:bCs/>
                <w:color w:val="auto"/>
                <w:sz w:val="24"/>
              </w:rPr>
              <w:t>、</w:t>
            </w:r>
            <w:r>
              <w:rPr>
                <w:bCs/>
                <w:color w:val="auto"/>
                <w:sz w:val="24"/>
              </w:rPr>
              <w:t>喷头</w:t>
            </w:r>
            <w:r>
              <w:rPr>
                <w:rFonts w:hint="eastAsia"/>
                <w:bCs/>
                <w:color w:val="auto"/>
                <w:sz w:val="24"/>
              </w:rPr>
              <w:t>清洗用水</w:t>
            </w:r>
            <w:r>
              <w:rPr>
                <w:color w:val="auto"/>
                <w:kern w:val="0"/>
                <w:sz w:val="24"/>
                <w:szCs w:val="24"/>
              </w:rPr>
              <w:t>。</w:t>
            </w:r>
          </w:p>
          <w:p w14:paraId="219B073A">
            <w:pPr>
              <w:adjustRightInd w:val="0"/>
              <w:snapToGrid w:val="0"/>
              <w:ind w:firstLine="480" w:firstLineChars="200"/>
              <w:rPr>
                <w:color w:val="auto"/>
                <w:kern w:val="0"/>
                <w:sz w:val="24"/>
                <w:szCs w:val="24"/>
              </w:rPr>
            </w:pPr>
            <w:r>
              <w:rPr>
                <w:color w:val="auto"/>
                <w:kern w:val="0"/>
                <w:sz w:val="24"/>
                <w:szCs w:val="24"/>
              </w:rPr>
              <w:fldChar w:fldCharType="begin"/>
            </w:r>
            <w:r>
              <w:rPr>
                <w:color w:val="auto"/>
                <w:kern w:val="0"/>
                <w:sz w:val="24"/>
                <w:szCs w:val="24"/>
              </w:rPr>
              <w:instrText xml:space="preserve"> </w:instrText>
            </w:r>
            <w:r>
              <w:rPr>
                <w:rFonts w:hint="eastAsia"/>
                <w:color w:val="auto"/>
                <w:kern w:val="0"/>
                <w:sz w:val="24"/>
                <w:szCs w:val="24"/>
              </w:rPr>
              <w:instrText xml:space="preserve">= 1 \* GB3</w:instrText>
            </w:r>
            <w:r>
              <w:rPr>
                <w:color w:val="auto"/>
                <w:kern w:val="0"/>
                <w:sz w:val="24"/>
                <w:szCs w:val="24"/>
              </w:rPr>
              <w:instrText xml:space="preserve"> </w:instrText>
            </w:r>
            <w:r>
              <w:rPr>
                <w:color w:val="auto"/>
                <w:kern w:val="0"/>
                <w:sz w:val="24"/>
                <w:szCs w:val="24"/>
              </w:rPr>
              <w:fldChar w:fldCharType="separate"/>
            </w:r>
            <w:r>
              <w:rPr>
                <w:rFonts w:hint="eastAsia"/>
                <w:color w:val="auto"/>
                <w:kern w:val="0"/>
                <w:sz w:val="24"/>
                <w:szCs w:val="24"/>
              </w:rPr>
              <w:t>①</w:t>
            </w:r>
            <w:r>
              <w:rPr>
                <w:color w:val="auto"/>
                <w:kern w:val="0"/>
                <w:sz w:val="24"/>
                <w:szCs w:val="24"/>
              </w:rPr>
              <w:fldChar w:fldCharType="end"/>
            </w:r>
            <w:r>
              <w:rPr>
                <w:rFonts w:hint="eastAsia"/>
                <w:color w:val="auto"/>
                <w:kern w:val="0"/>
                <w:sz w:val="24"/>
                <w:szCs w:val="24"/>
              </w:rPr>
              <w:t>生活用水：根据《建筑给水排水设计标准》（GB 50015-2019），生活用水定额采用50L/（人·班），本项目新增劳动定员10人，年有效工作日300天计，则用水量为150t/a。排水量按用水量的80%计，污水排放量为120t/a。</w:t>
            </w:r>
          </w:p>
          <w:p w14:paraId="53711024">
            <w:pPr>
              <w:pStyle w:val="11"/>
              <w:keepNext w:val="0"/>
              <w:keepLines w:val="0"/>
              <w:pageBreakBefore w:val="0"/>
              <w:widowControl w:val="0"/>
              <w:kinsoku/>
              <w:wordWrap/>
              <w:overflowPunct/>
              <w:topLinePunct w:val="0"/>
              <w:autoSpaceDE/>
              <w:autoSpaceDN/>
              <w:bidi w:val="0"/>
              <w:adjustRightInd/>
              <w:snapToGrid/>
              <w:ind w:firstLine="480" w:firstLineChars="200"/>
              <w:textAlignment w:val="auto"/>
              <w:rPr>
                <w:color w:val="auto"/>
                <w:szCs w:val="24"/>
              </w:rPr>
            </w:pPr>
            <w:r>
              <w:rPr>
                <w:rFonts w:hint="eastAsia"/>
                <w:color w:val="auto"/>
                <w:szCs w:val="24"/>
              </w:rPr>
              <w:fldChar w:fldCharType="begin"/>
            </w:r>
            <w:r>
              <w:rPr>
                <w:rFonts w:hint="eastAsia"/>
                <w:color w:val="auto"/>
                <w:szCs w:val="24"/>
              </w:rPr>
              <w:instrText xml:space="preserve"> = 2 \* GB3 </w:instrText>
            </w:r>
            <w:r>
              <w:rPr>
                <w:rFonts w:hint="eastAsia"/>
                <w:color w:val="auto"/>
                <w:szCs w:val="24"/>
              </w:rPr>
              <w:fldChar w:fldCharType="separate"/>
            </w:r>
            <w:r>
              <w:rPr>
                <w:rFonts w:hint="eastAsia"/>
                <w:color w:val="auto"/>
                <w:szCs w:val="24"/>
              </w:rPr>
              <w:t>②</w:t>
            </w:r>
            <w:r>
              <w:rPr>
                <w:rFonts w:hint="eastAsia"/>
                <w:color w:val="auto"/>
                <w:szCs w:val="24"/>
              </w:rPr>
              <w:fldChar w:fldCharType="end"/>
            </w:r>
            <w:r>
              <w:rPr>
                <w:color w:val="auto"/>
                <w:szCs w:val="24"/>
              </w:rPr>
              <w:t>喷头</w:t>
            </w:r>
            <w:r>
              <w:rPr>
                <w:rFonts w:hint="eastAsia"/>
                <w:color w:val="auto"/>
                <w:szCs w:val="24"/>
              </w:rPr>
              <w:t>清洗用水：</w:t>
            </w:r>
            <w:r>
              <w:rPr>
                <w:color w:val="auto"/>
                <w:szCs w:val="24"/>
              </w:rPr>
              <w:t>数码打印机喷头定期用水浸泡清洗</w:t>
            </w:r>
            <w:r>
              <w:rPr>
                <w:rFonts w:hint="eastAsia"/>
                <w:color w:val="auto"/>
                <w:szCs w:val="24"/>
              </w:rPr>
              <w:t>，根据企业提供数据，每10天</w:t>
            </w:r>
            <w:r>
              <w:rPr>
                <w:color w:val="auto"/>
                <w:szCs w:val="24"/>
              </w:rPr>
              <w:t>浸泡清洗</w:t>
            </w:r>
            <w:r>
              <w:rPr>
                <w:rFonts w:hint="eastAsia"/>
                <w:color w:val="auto"/>
                <w:szCs w:val="24"/>
              </w:rPr>
              <w:t>，每次用水量25kg，</w:t>
            </w:r>
            <w:r>
              <w:rPr>
                <w:rFonts w:hint="eastAsia"/>
                <w:color w:val="auto"/>
              </w:rPr>
              <w:t>年清洗30次，</w:t>
            </w:r>
            <w:r>
              <w:rPr>
                <w:rFonts w:hint="eastAsia"/>
                <w:color w:val="auto"/>
                <w:szCs w:val="24"/>
              </w:rPr>
              <w:t>故</w:t>
            </w:r>
            <w:r>
              <w:rPr>
                <w:rFonts w:hint="eastAsia"/>
                <w:color w:val="auto"/>
              </w:rPr>
              <w:t>清洗废液</w:t>
            </w:r>
            <w:r>
              <w:rPr>
                <w:rFonts w:hint="eastAsia"/>
                <w:color w:val="auto"/>
                <w:szCs w:val="24"/>
              </w:rPr>
              <w:t>产生量为0.75t/a，清洗产生的</w:t>
            </w:r>
            <w:r>
              <w:rPr>
                <w:rFonts w:hint="eastAsia"/>
                <w:color w:val="auto"/>
              </w:rPr>
              <w:t>清洗废液</w:t>
            </w:r>
            <w:r>
              <w:rPr>
                <w:rFonts w:hint="eastAsia"/>
                <w:color w:val="auto"/>
                <w:szCs w:val="24"/>
              </w:rPr>
              <w:t>拟作为危废委托有资质单位处置。</w:t>
            </w:r>
          </w:p>
          <w:p w14:paraId="4D97918A">
            <w:pPr>
              <w:pStyle w:val="11"/>
              <w:snapToGrid w:val="0"/>
              <w:jc w:val="both"/>
              <w:rPr>
                <w:color w:val="auto"/>
                <w:sz w:val="21"/>
                <w:szCs w:val="21"/>
              </w:rPr>
            </w:pPr>
            <w:r>
              <w:rPr>
                <w:color w:val="auto"/>
              </w:rPr>
              <mc:AlternateContent>
                <mc:Choice Requires="wpc">
                  <w:drawing>
                    <wp:inline distT="0" distB="0" distL="114300" distR="114300">
                      <wp:extent cx="5278120" cy="1774190"/>
                      <wp:effectExtent l="0" t="0" r="0" b="0"/>
                      <wp:docPr id="134" name="画布 134"/>
                      <wp:cNvGraphicFramePr/>
                      <a:graphic xmlns:a="http://schemas.openxmlformats.org/drawingml/2006/main">
                        <a:graphicData uri="http://schemas.microsoft.com/office/word/2010/wordprocessingCanvas">
                          <wpc:wpc>
                            <wpc:bg>
                              <a:noFill/>
                            </wpc:bg>
                            <wpc:whole>
                              <a:ln>
                                <a:noFill/>
                              </a:ln>
                            </wpc:whole>
                            <wps:wsp>
                              <wps:cNvPr id="135" name="文本框 76"/>
                              <wps:cNvSpPr txBox="1"/>
                              <wps:spPr>
                                <a:xfrm>
                                  <a:off x="739140" y="915670"/>
                                  <a:ext cx="459105" cy="224790"/>
                                </a:xfrm>
                                <a:prstGeom prst="rect">
                                  <a:avLst/>
                                </a:prstGeom>
                                <a:noFill/>
                                <a:ln>
                                  <a:noFill/>
                                </a:ln>
                              </wps:spPr>
                              <wps:txbx>
                                <w:txbxContent>
                                  <w:p w14:paraId="6D8DC990">
                                    <w:r>
                                      <w:rPr>
                                        <w:rFonts w:hint="eastAsia"/>
                                      </w:rPr>
                                      <w:t>新鲜水</w:t>
                                    </w:r>
                                  </w:p>
                                </w:txbxContent>
                              </wps:txbx>
                              <wps:bodyPr lIns="0" tIns="0" rIns="0" bIns="0" upright="1"/>
                            </wps:wsp>
                            <wps:wsp>
                              <wps:cNvPr id="136" name="直接连接符 77"/>
                              <wps:cNvCnPr/>
                              <wps:spPr>
                                <a:xfrm>
                                  <a:off x="443865" y="960755"/>
                                  <a:ext cx="986790" cy="635"/>
                                </a:xfrm>
                                <a:prstGeom prst="line">
                                  <a:avLst/>
                                </a:prstGeom>
                                <a:ln w="9525" cap="flat" cmpd="sng">
                                  <a:solidFill>
                                    <a:srgbClr val="000000"/>
                                  </a:solidFill>
                                  <a:prstDash val="solid"/>
                                  <a:headEnd type="none" w="med" len="med"/>
                                  <a:tailEnd type="triangle" w="med" len="med"/>
                                </a:ln>
                              </wps:spPr>
                              <wps:bodyPr/>
                            </wps:wsp>
                            <wps:wsp>
                              <wps:cNvPr id="137" name="直接连接符 86"/>
                              <wps:cNvCnPr/>
                              <wps:spPr>
                                <a:xfrm>
                                  <a:off x="1446530" y="540385"/>
                                  <a:ext cx="0" cy="909955"/>
                                </a:xfrm>
                                <a:prstGeom prst="line">
                                  <a:avLst/>
                                </a:prstGeom>
                                <a:ln w="9525" cap="flat" cmpd="sng">
                                  <a:solidFill>
                                    <a:srgbClr val="000000"/>
                                  </a:solidFill>
                                  <a:prstDash val="solid"/>
                                  <a:headEnd type="none" w="med" len="med"/>
                                  <a:tailEnd type="none" w="med" len="med"/>
                                </a:ln>
                              </wps:spPr>
                              <wps:bodyPr/>
                            </wps:wsp>
                            <wps:wsp>
                              <wps:cNvPr id="138" name="直接连接符 91"/>
                              <wps:cNvCnPr/>
                              <wps:spPr>
                                <a:xfrm>
                                  <a:off x="1455420" y="548640"/>
                                  <a:ext cx="553720" cy="635"/>
                                </a:xfrm>
                                <a:prstGeom prst="line">
                                  <a:avLst/>
                                </a:prstGeom>
                                <a:ln w="9525" cap="flat" cmpd="sng">
                                  <a:solidFill>
                                    <a:srgbClr val="000000"/>
                                  </a:solidFill>
                                  <a:prstDash val="solid"/>
                                  <a:headEnd type="none" w="med" len="med"/>
                                  <a:tailEnd type="triangle" w="med" len="med"/>
                                </a:ln>
                              </wps:spPr>
                              <wps:bodyPr/>
                            </wps:wsp>
                            <wps:wsp>
                              <wps:cNvPr id="139" name="文本框 92"/>
                              <wps:cNvSpPr txBox="1"/>
                              <wps:spPr>
                                <a:xfrm>
                                  <a:off x="2026285" y="427355"/>
                                  <a:ext cx="770890" cy="1955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C4F5AF">
                                    <w:pPr>
                                      <w:widowControl/>
                                      <w:snapToGrid w:val="0"/>
                                      <w:jc w:val="center"/>
                                    </w:pPr>
                                    <w:r>
                                      <w:rPr>
                                        <w:rFonts w:hint="eastAsia"/>
                                      </w:rPr>
                                      <w:t>生活用水</w:t>
                                    </w:r>
                                  </w:p>
                                </w:txbxContent>
                              </wps:txbx>
                              <wps:bodyPr lIns="0" tIns="0" rIns="0" bIns="0" upright="1"/>
                            </wps:wsp>
                            <wps:wsp>
                              <wps:cNvPr id="140" name="文本框 98"/>
                              <wps:cNvSpPr txBox="1"/>
                              <wps:spPr>
                                <a:xfrm>
                                  <a:off x="1603375" y="340360"/>
                                  <a:ext cx="284480" cy="215900"/>
                                </a:xfrm>
                                <a:prstGeom prst="rect">
                                  <a:avLst/>
                                </a:prstGeom>
                                <a:noFill/>
                                <a:ln>
                                  <a:noFill/>
                                </a:ln>
                              </wps:spPr>
                              <wps:txbx>
                                <w:txbxContent>
                                  <w:p w14:paraId="537DB9FD">
                                    <w:r>
                                      <w:t>150</w:t>
                                    </w:r>
                                  </w:p>
                                </w:txbxContent>
                              </wps:txbx>
                              <wps:bodyPr lIns="0" tIns="0" rIns="0" bIns="0" upright="1"/>
                            </wps:wsp>
                            <wps:wsp>
                              <wps:cNvPr id="141" name="直接连接符 99"/>
                              <wps:cNvCnPr/>
                              <wps:spPr>
                                <a:xfrm>
                                  <a:off x="2789555" y="566420"/>
                                  <a:ext cx="425450" cy="635"/>
                                </a:xfrm>
                                <a:prstGeom prst="line">
                                  <a:avLst/>
                                </a:prstGeom>
                                <a:ln w="9525" cap="flat" cmpd="sng">
                                  <a:solidFill>
                                    <a:srgbClr val="000000"/>
                                  </a:solidFill>
                                  <a:prstDash val="solid"/>
                                  <a:headEnd type="none" w="med" len="med"/>
                                  <a:tailEnd type="triangle" w="med" len="med"/>
                                </a:ln>
                              </wps:spPr>
                              <wps:bodyPr/>
                            </wps:wsp>
                            <wps:wsp>
                              <wps:cNvPr id="142" name="直接连接符 100"/>
                              <wps:cNvCnPr/>
                              <wps:spPr>
                                <a:xfrm>
                                  <a:off x="2104390" y="60325"/>
                                  <a:ext cx="635" cy="372745"/>
                                </a:xfrm>
                                <a:prstGeom prst="line">
                                  <a:avLst/>
                                </a:prstGeom>
                                <a:ln w="9525" cap="flat" cmpd="sng">
                                  <a:solidFill>
                                    <a:srgbClr val="000000"/>
                                  </a:solidFill>
                                  <a:prstDash val="solid"/>
                                  <a:headEnd type="triangle" w="med" len="med"/>
                                  <a:tailEnd type="none" w="med" len="med"/>
                                </a:ln>
                              </wps:spPr>
                              <wps:bodyPr/>
                            </wps:wsp>
                            <wps:wsp>
                              <wps:cNvPr id="143" name="文本框 102"/>
                              <wps:cNvSpPr txBox="1"/>
                              <wps:spPr>
                                <a:xfrm>
                                  <a:off x="2165985" y="166370"/>
                                  <a:ext cx="686435" cy="215900"/>
                                </a:xfrm>
                                <a:prstGeom prst="rect">
                                  <a:avLst/>
                                </a:prstGeom>
                                <a:noFill/>
                                <a:ln>
                                  <a:noFill/>
                                </a:ln>
                              </wps:spPr>
                              <wps:txbx>
                                <w:txbxContent>
                                  <w:p w14:paraId="6EAC0ED4">
                                    <w:r>
                                      <w:rPr>
                                        <w:rFonts w:hint="eastAsia"/>
                                      </w:rPr>
                                      <w:t>损耗</w:t>
                                    </w:r>
                                    <w:r>
                                      <w:t>30</w:t>
                                    </w:r>
                                  </w:p>
                                </w:txbxContent>
                              </wps:txbx>
                              <wps:bodyPr lIns="0" tIns="0" rIns="0" bIns="0" upright="1"/>
                            </wps:wsp>
                            <wps:wsp>
                              <wps:cNvPr id="144" name="文本框 103"/>
                              <wps:cNvSpPr txBox="1"/>
                              <wps:spPr>
                                <a:xfrm>
                                  <a:off x="3213100" y="436245"/>
                                  <a:ext cx="615315" cy="1892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C8B0A85">
                                    <w:pPr>
                                      <w:spacing w:line="240" w:lineRule="auto"/>
                                      <w:jc w:val="center"/>
                                    </w:pPr>
                                    <w:r>
                                      <w:rPr>
                                        <w:rFonts w:hint="eastAsia"/>
                                      </w:rPr>
                                      <w:t>化粪池</w:t>
                                    </w:r>
                                  </w:p>
                                </w:txbxContent>
                              </wps:txbx>
                              <wps:bodyPr lIns="0" tIns="0" rIns="0" bIns="0" upright="1"/>
                            </wps:wsp>
                            <wps:wsp>
                              <wps:cNvPr id="146" name="直接连接符 104"/>
                              <wps:cNvCnPr/>
                              <wps:spPr>
                                <a:xfrm>
                                  <a:off x="3845560" y="556895"/>
                                  <a:ext cx="356235" cy="635"/>
                                </a:xfrm>
                                <a:prstGeom prst="line">
                                  <a:avLst/>
                                </a:prstGeom>
                                <a:ln w="9525" cap="flat" cmpd="sng">
                                  <a:solidFill>
                                    <a:srgbClr val="000000"/>
                                  </a:solidFill>
                                  <a:prstDash val="solid"/>
                                  <a:headEnd type="none" w="med" len="med"/>
                                  <a:tailEnd type="triangle" w="med" len="med"/>
                                </a:ln>
                              </wps:spPr>
                              <wps:bodyPr/>
                            </wps:wsp>
                            <wps:wsp>
                              <wps:cNvPr id="147" name="文本框 109"/>
                              <wps:cNvSpPr txBox="1"/>
                              <wps:spPr>
                                <a:xfrm>
                                  <a:off x="4227195" y="261620"/>
                                  <a:ext cx="1015365" cy="570230"/>
                                </a:xfrm>
                                <a:prstGeom prst="rect">
                                  <a:avLst/>
                                </a:prstGeom>
                                <a:noFill/>
                                <a:ln>
                                  <a:noFill/>
                                </a:ln>
                              </wps:spPr>
                              <wps:txbx>
                                <w:txbxContent>
                                  <w:p w14:paraId="3D238512">
                                    <w:pPr>
                                      <w:spacing w:line="240" w:lineRule="auto"/>
                                    </w:pPr>
                                    <w:r>
                                      <w:rPr>
                                        <w:rFonts w:hint="eastAsia"/>
                                      </w:rPr>
                                      <w:t>接</w:t>
                                    </w:r>
                                    <w:r>
                                      <w:t>入</w:t>
                                    </w:r>
                                    <w:r>
                                      <w:rPr>
                                        <w:color w:val="000000"/>
                                        <w:kern w:val="0"/>
                                        <w:lang w:bidi="ar"/>
                                      </w:rPr>
                                      <w:t>江阴市山泉污水处理厂</w:t>
                                    </w:r>
                                    <w:r>
                                      <w:rPr>
                                        <w:rFonts w:hint="eastAsia"/>
                                      </w:rPr>
                                      <w:t>集中处理</w:t>
                                    </w:r>
                                  </w:p>
                                </w:txbxContent>
                              </wps:txbx>
                              <wps:bodyPr lIns="0" tIns="0" rIns="0" bIns="0" upright="1"/>
                            </wps:wsp>
                            <wps:wsp>
                              <wps:cNvPr id="148" name="文本框 111"/>
                              <wps:cNvSpPr txBox="1"/>
                              <wps:spPr>
                                <a:xfrm>
                                  <a:off x="2880995" y="346710"/>
                                  <a:ext cx="279400" cy="215900"/>
                                </a:xfrm>
                                <a:prstGeom prst="rect">
                                  <a:avLst/>
                                </a:prstGeom>
                                <a:noFill/>
                                <a:ln>
                                  <a:noFill/>
                                </a:ln>
                              </wps:spPr>
                              <wps:txbx>
                                <w:txbxContent>
                                  <w:p w14:paraId="30BDC505">
                                    <w:r>
                                      <w:t>120</w:t>
                                    </w:r>
                                  </w:p>
                                </w:txbxContent>
                              </wps:txbx>
                              <wps:bodyPr lIns="0" tIns="0" rIns="0" bIns="0" upright="1"/>
                            </wps:wsp>
                            <wps:wsp>
                              <wps:cNvPr id="149" name="文本框 112"/>
                              <wps:cNvSpPr txBox="1"/>
                              <wps:spPr>
                                <a:xfrm>
                                  <a:off x="3872230" y="339090"/>
                                  <a:ext cx="279400" cy="215900"/>
                                </a:xfrm>
                                <a:prstGeom prst="rect">
                                  <a:avLst/>
                                </a:prstGeom>
                                <a:noFill/>
                                <a:ln>
                                  <a:noFill/>
                                </a:ln>
                              </wps:spPr>
                              <wps:txbx>
                                <w:txbxContent>
                                  <w:p w14:paraId="4B4C2296">
                                    <w:r>
                                      <w:t>120</w:t>
                                    </w:r>
                                  </w:p>
                                </w:txbxContent>
                              </wps:txbx>
                              <wps:bodyPr lIns="0" tIns="0" rIns="0" bIns="0" upright="1"/>
                            </wps:wsp>
                            <wps:wsp>
                              <wps:cNvPr id="150" name="直接连接符 113"/>
                              <wps:cNvCnPr/>
                              <wps:spPr>
                                <a:xfrm>
                                  <a:off x="1455420" y="1457961"/>
                                  <a:ext cx="570865" cy="635"/>
                                </a:xfrm>
                                <a:prstGeom prst="line">
                                  <a:avLst/>
                                </a:prstGeom>
                                <a:ln w="9525" cap="flat" cmpd="sng">
                                  <a:solidFill>
                                    <a:srgbClr val="000000"/>
                                  </a:solidFill>
                                  <a:prstDash val="solid"/>
                                  <a:headEnd type="none" w="med" len="med"/>
                                  <a:tailEnd type="triangle" w="med" len="med"/>
                                </a:ln>
                              </wps:spPr>
                              <wps:bodyPr/>
                            </wps:wsp>
                            <wps:wsp>
                              <wps:cNvPr id="151" name="文本框 114"/>
                              <wps:cNvSpPr txBox="1"/>
                              <wps:spPr>
                                <a:xfrm>
                                  <a:off x="2043430" y="1328420"/>
                                  <a:ext cx="891540" cy="18160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0B3BC1">
                                    <w:pPr>
                                      <w:widowControl/>
                                      <w:snapToGrid w:val="0"/>
                                      <w:jc w:val="center"/>
                                    </w:pPr>
                                    <w:r>
                                      <w:t>喷头清洗用</w:t>
                                    </w:r>
                                    <w:r>
                                      <w:rPr>
                                        <w:rFonts w:hint="eastAsia"/>
                                      </w:rPr>
                                      <w:t>水</w:t>
                                    </w:r>
                                  </w:p>
                                </w:txbxContent>
                              </wps:txbx>
                              <wps:bodyPr lIns="0" tIns="0" rIns="0" bIns="0" upright="1"/>
                            </wps:wsp>
                            <wps:wsp>
                              <wps:cNvPr id="156" name="直接连接符 115"/>
                              <wps:cNvCnPr/>
                              <wps:spPr>
                                <a:xfrm>
                                  <a:off x="2945130" y="1457326"/>
                                  <a:ext cx="558800" cy="0"/>
                                </a:xfrm>
                                <a:prstGeom prst="line">
                                  <a:avLst/>
                                </a:prstGeom>
                                <a:ln w="9525" cap="flat" cmpd="sng">
                                  <a:solidFill>
                                    <a:srgbClr val="000000"/>
                                  </a:solidFill>
                                  <a:prstDash val="solid"/>
                                  <a:headEnd type="none" w="med" len="med"/>
                                  <a:tailEnd type="triangle" w="med" len="med"/>
                                </a:ln>
                              </wps:spPr>
                              <wps:bodyPr/>
                            </wps:wsp>
                            <wps:wsp>
                              <wps:cNvPr id="161" name="文本框 117"/>
                              <wps:cNvSpPr txBox="1"/>
                              <wps:spPr>
                                <a:xfrm>
                                  <a:off x="3572510" y="1229995"/>
                                  <a:ext cx="1101090" cy="509905"/>
                                </a:xfrm>
                                <a:prstGeom prst="rect">
                                  <a:avLst/>
                                </a:prstGeom>
                                <a:noFill/>
                                <a:ln>
                                  <a:noFill/>
                                </a:ln>
                              </wps:spPr>
                              <wps:txbx>
                                <w:txbxContent>
                                  <w:p w14:paraId="30EA590D">
                                    <w:pPr>
                                      <w:spacing w:line="240" w:lineRule="auto"/>
                                    </w:pPr>
                                    <w:r>
                                      <w:rPr>
                                        <w:rFonts w:hint="eastAsia"/>
                                        <w:color w:val="auto"/>
                                        <w:lang w:val="en-US" w:eastAsia="zh-CN"/>
                                      </w:rPr>
                                      <w:t>清洗废液</w:t>
                                    </w:r>
                                    <w:r>
                                      <w:rPr>
                                        <w:color w:val="auto"/>
                                      </w:rPr>
                                      <w:t>作为危</w:t>
                                    </w:r>
                                    <w:r>
                                      <w:t>废处置</w:t>
                                    </w:r>
                                  </w:p>
                                </w:txbxContent>
                              </wps:txbx>
                              <wps:bodyPr lIns="0" tIns="0" rIns="0" bIns="0" upright="1"/>
                            </wps:wsp>
                            <wps:wsp>
                              <wps:cNvPr id="173" name="文本框 124"/>
                              <wps:cNvSpPr txBox="1"/>
                              <wps:spPr>
                                <a:xfrm>
                                  <a:off x="3075940" y="1223010"/>
                                  <a:ext cx="342900" cy="215900"/>
                                </a:xfrm>
                                <a:prstGeom prst="rect">
                                  <a:avLst/>
                                </a:prstGeom>
                                <a:noFill/>
                                <a:ln>
                                  <a:noFill/>
                                </a:ln>
                              </wps:spPr>
                              <wps:txbx>
                                <w:txbxContent>
                                  <w:p w14:paraId="00038646">
                                    <w:r>
                                      <w:t>0.75</w:t>
                                    </w:r>
                                  </w:p>
                                </w:txbxContent>
                              </wps:txbx>
                              <wps:bodyPr lIns="0" tIns="0" rIns="0" bIns="0" upright="1"/>
                            </wps:wsp>
                            <wps:wsp>
                              <wps:cNvPr id="179" name="文本框 131"/>
                              <wps:cNvSpPr txBox="1"/>
                              <wps:spPr>
                                <a:xfrm>
                                  <a:off x="723265" y="735330"/>
                                  <a:ext cx="579120" cy="215900"/>
                                </a:xfrm>
                                <a:prstGeom prst="rect">
                                  <a:avLst/>
                                </a:prstGeom>
                                <a:noFill/>
                                <a:ln>
                                  <a:noFill/>
                                </a:ln>
                              </wps:spPr>
                              <wps:txbx>
                                <w:txbxContent>
                                  <w:p w14:paraId="782CB836">
                                    <w:r>
                                      <w:rPr>
                                        <w:rFonts w:hint="eastAsia"/>
                                        <w:lang w:val="en-US" w:eastAsia="zh-CN"/>
                                      </w:rPr>
                                      <w:t>150</w:t>
                                    </w:r>
                                    <w:r>
                                      <w:rPr>
                                        <w:rFonts w:hint="eastAsia"/>
                                      </w:rPr>
                                      <w:t>.75</w:t>
                                    </w:r>
                                  </w:p>
                                </w:txbxContent>
                              </wps:txbx>
                              <wps:bodyPr lIns="0" tIns="0" rIns="0" bIns="0" upright="1"/>
                            </wps:wsp>
                            <wps:wsp>
                              <wps:cNvPr id="12" name="文本框 124"/>
                              <wps:cNvSpPr txBox="1"/>
                              <wps:spPr>
                                <a:xfrm>
                                  <a:off x="1578610" y="1229995"/>
                                  <a:ext cx="342900" cy="215900"/>
                                </a:xfrm>
                                <a:prstGeom prst="rect">
                                  <a:avLst/>
                                </a:prstGeom>
                                <a:noFill/>
                                <a:ln>
                                  <a:noFill/>
                                </a:ln>
                              </wps:spPr>
                              <wps:txbx>
                                <w:txbxContent>
                                  <w:p w14:paraId="4DF9BF1C">
                                    <w:r>
                                      <w:t>0.75</w:t>
                                    </w:r>
                                  </w:p>
                                </w:txbxContent>
                              </wps:txbx>
                              <wps:bodyPr lIns="0" tIns="0" rIns="0" bIns="0" upright="1"/>
                            </wps:wsp>
                          </wpc:wpc>
                        </a:graphicData>
                      </a:graphic>
                    </wp:inline>
                  </w:drawing>
                </mc:Choice>
                <mc:Fallback>
                  <w:pict>
                    <v:group id="_x0000_s1026" o:spid="_x0000_s1026" o:spt="203" style="height:139.7pt;width:415.6pt;" coordsize="5278120,1774190" editas="canvas" o:gfxdata="UEsDBAoAAAAAAIdO4kAAAAAAAAAAAAAAAAAEAAAAZHJzL1BLAwQUAAAACACHTuJA3TVCHNgAAAAF&#10;AQAADwAAAGRycy9kb3ducmV2LnhtbE2PQUvDQBCF70L/wzIFL2I3iUVrzKSHglhEKKba8zY7JsHs&#10;bJrdJvXfu/VSLwOP93jvm2x5Mq0YqHeNZYR4FoEgLq1uuEL42D7fLkA4r1ir1jIh/JCDZT65ylSq&#10;7cjvNBS+EqGEXaoQau+7VEpX1mSUm9mOOHhftjfKB9lXUvdqDOWmlUkU3UujGg4LtepoVVP5XRwN&#10;wlhuht327UVubnZry4f1YVV8viJeT+PoCYSnk7+E4Ywf0CEPTHt7ZO1EixAe8X83eIu7OAGxR0ge&#10;Hucg80z+p89/AVBLAwQUAAAACACHTuJABPQyMR0GAABpKwAADgAAAGRycy9lMm9Eb2MueG1s7VrL&#10;buREFN0j8Q+W96Rdb7uVZCQmkxESgpEGPsBxu7st+SXbSXfWSLBjhWYDQmIBq1myQGLB15DwGdxb&#10;frTttKcfkUJCOouO264uV9177rmnbtXxi2UUGld+lgdJfGKSI8s0/NhLJkE8OzG//ur8E9s08sKN&#10;J26YxP6Jee3n5ovTjz86XqRjnybzJJz4mQGdxPl4kZ6Y86JIx6NR7s39yM2PktSP4eE0ySK3gK/Z&#10;bDTJ3AX0HoUjallytEiySZolnp/ncPesfGhWPWbbdJhMp4HnnyXeZeTHRdlr5oduAVPK50Gam6d6&#10;tNOp7xVfTqe5XxjhiQkzLfQnvASuL/BzdHrsjmeZm84DrxqCu80QenOK3CCGlzZdnbmFa1xmwZ2u&#10;osDLkjyZFkdeEo3KiWiLwCyI1bPN6yy5TPVcZuPFLG2MDo7qWX3vbr0vrt5kRjABJDBuGrEbgctv&#10;f/jz7z++MfAO2GeRzsbQ7HWWvk3fZNWNWfkNp7ycZhH+h8kYS23Z68ay/rIwPLgpqLIJBaN78Iwo&#10;xYlT2d6bg4Pu/M6bv9rwy1H94hGOrxnOIgVU5itT5fcz1du5m/raAznaoDGVqE118+67m5/e3/zy&#10;raFkaSzdEC1lFMtPE5g7qe/ncHONwRRzCAfTgGUcIqSqDFObjguHWPA+tBylXJWGa6bvjtMsL177&#10;SWTgxYmZAeY1FN2rz/MC3AVN6yb49jg5D8JQ4z6MOzegId4Bg+bjcqx4VSwvltrp+fgimVzDvMLP&#10;YjArRlN9kdUXF/XFZZoFszkMR89edwluQTA9iH9k7Z/bH3+/+f7Xf/76GT5v3/9mKFV7A9z5Mq7w&#10;XM+3xlQDZs6ZLcH46BtpKSHw1+649o1jS/SH9o1k+uGwY8IgRii54wHHhLGxgNcIis52gVmnwGhw&#10;GaUQnXk807/NkzCYoAOxozybXbwMM+PKRXbTfzg+GEKnGXr/zM3nZTv9qJzG3Hcnr+KJUVynEPUx&#10;0L2JQ4j8iWmEPmQHvNITLtwgXLUsssCNZ+FA6/UwKrGDo6sg8GBYUENYsNsRuxkLhHMpWBmoglvM&#10;7oGhwoFjOU6Jk+cAhWHQPDYYgKypsluPEpyGoLeiBMKF4JjKgBMEtyVQd4cThGCqznQHTqgY5LGB&#10;wanBsMrfDkU/IjkBDHbJ39SikgIZICA4VayfJJSy7DpJEKAGWwNmmBw2JfAOt3dSwLn+w2lA751m&#10;D59boqDwMx0Y+2aZXanlKQoV1H0lK7WAaO8JRCItxlQJRAYJSvaYidqcA/hKJUmEY90TiM9BSXJS&#10;O6ivJB2n5abN6gEWQBD7pXOElJhBOmmDU8FF5ZxD2nicaYPTITCQMpaq7LEFGojFGSYFyBkQtSD5&#10;O2BAAOgwBSmh+BNfV3x4teCOu2uLXVn/P1tXcFaDYUXdxNpbRBApnEpEEClZvwogQWjWoKAH7u7W&#10;EAeqNLwpaLU9xFq0vYvMY5QwDHMt85ikZViuagGSCEaqsCW2Q2GlWAqxuj5WF2G2rNN09NtB5una&#10;GfLrk5R5g/UoyAMtPG5OHMyG5ScIO736FBI0RTdzMCFpzRMHGfFIZURTkWrzUltO7sJLnFIFy0qN&#10;CCqJ7AtLYgExYQ0TC8hCWfcmpmch+5tqUctFpF0o2sVF1LaxKKhdxLhUpKf9qXI4ZhZd4j8k9+2S&#10;+5oSDiH7yi9mK4qBgbTKQJiXmyyr5H7wkOcPblMOyC9cza6vuBLSFmGbk1675ArXypE6ElfuAVrT&#10;2zQYQIes9ziznmgqKW1KbaufnSgV1s+8CljCoLLVT3s27KVidQ0hQWwojen8eqi6btrb23X9/RTl&#10;uBiW47CCg1Xb9nUchwtSwxCYiVG9p9hiJgG5v4LhhgXhYX9Y78Y/9P4w5JI7JXhC2scEduElJhQV&#10;oO9QSBBKHZR9ndIeAT2O8qKU4yAL4WzHveoEz0GOq3W1Nrpv7mBwkAMEd+0jBg7p+ohxipsjBz2+&#10;7lDagNpT6/Q423fFpCgwablggg1VVtbSWqyqnOY02aEa2js1OOCgZu+iJb/2DiEilC0/RHP/rxCC&#10;nKRPYOqN9eq0KB7xbH/XJ5tWJ2RP/w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OCAAAW0NvbnRlbnRfVHlwZXNdLnhtbFBLAQIUAAoAAAAAAIdO&#10;4kAAAAAAAAAAAAAAAAAGAAAAAAAAAAAAEAAAAHAHAABfcmVscy9QSwECFAAUAAAACACHTuJAihRm&#10;PNEAAACUAQAACwAAAAAAAAABACAAAACUBwAAX3JlbHMvLnJlbHNQSwECFAAKAAAAAACHTuJAAAAA&#10;AAAAAAAAAAAABAAAAAAAAAAAABAAAAAAAAAAZHJzL1BLAQIUABQAAAAIAIdO4kDdNUIc2AAAAAUB&#10;AAAPAAAAAAAAAAEAIAAAACIAAABkcnMvZG93bnJldi54bWxQSwECFAAUAAAACACHTuJABPQyMR0G&#10;AABpKwAADgAAAAAAAAABACAAAAAnAQAAZHJzL2Uyb0RvYy54bWxQSwUGAAAAAAYABgBZAQAAtgkA&#10;AAAA&#10;">
                      <o:lock v:ext="edit" aspectratio="f"/>
                      <v:shape id="_x0000_s1026" o:spid="_x0000_s1026" style="position:absolute;left:0;top:0;height:1774190;width:5278120;" filled="f" stroked="f" coordsize="21600,21600" o:gfxdata="UEsDBAoAAAAAAIdO4kAAAAAAAAAAAAAAAAAEAAAAZHJzL1BLAwQUAAAACACHTuJA3TVCHNgAAAAF&#10;AQAADwAAAGRycy9kb3ducmV2LnhtbE2PQUvDQBCF70L/wzIFL2I3iUVrzKSHglhEKKba8zY7JsHs&#10;bJrdJvXfu/VSLwOP93jvm2x5Mq0YqHeNZYR4FoEgLq1uuEL42D7fLkA4r1ir1jIh/JCDZT65ylSq&#10;7cjvNBS+EqGEXaoQau+7VEpX1mSUm9mOOHhftjfKB9lXUvdqDOWmlUkU3UujGg4LtepoVVP5XRwN&#10;wlhuht327UVubnZry4f1YVV8viJeT+PoCYSnk7+E4Ywf0CEPTHt7ZO1EixAe8X83eIu7OAGxR0ge&#10;Hucg80z+p89/AVBLAwQUAAAACACHTuJAdZVsod8FAADiKgAADgAAAGRycy9lMm9Eb2MueG1s7VrN&#10;buM2EL4X6DsIunct/kvGOgt00xQFinaBtA9Ay7ItQH+QlNh5gfbWYy8tCvTQnvbYe98m28foDCnZ&#10;kjdKYqfYJln7YDMiQ5Gcj998M+TLV+s0cS6jsorzbOKSF57rRFmYz+JsMXG//+7sM991qlpnM53k&#10;WTRxr6LKfXXy6ScvV8U4ovkyT2ZR6UAnWTVeFRN3WdfFeDSqwmWU6upFXkQZVM7zMtU1/FkuRrNS&#10;r6D3NBlRz5OjVV7OijIPo6qCp6e20m16LO/TYT6fx2F0mocXaZTVttcySnQNU6qWcVG5J2a083kU&#10;1t/O51VUO8nEhZnW5hteAuUpfo9OXurxotTFMg6bIej7DGFnTqmOM3jppqtTXWvnoozf6yqNwzKv&#10;8nn9IszTkZ2IWRGYBfF21ua1zi61nUwIa90OEEr/Yb/TBY47y8/iJIHVGEHvY3yGvyuwdoTVSdZv&#10;ZJ+Ytk2bVQFwqIoNMKqHDfF8qYvImLEah99cvimdeAZoZcJ1Mp0CLK9//vH617fXv//gKIlWxPdD&#10;w/MCmtbrz/M1tG6fV/AQx7+elyn+wrI7UK9YQDgA4WriBkRI1aAhWtdOCNVcBMSD94VQTylXgakf&#10;bbspyqr+MspTBwsTtwSwGQzoy6+rGpdSj9smvdW7ZTmrsR0rzqZeT9fNxKb57ArmlXyVwbIijNtC&#10;2RambeGiKOPFEoZjZg8WMmax6/MB7CNb+7z75a/rn/745+/f4Pvd2z8dpVprgJVeZ2/KZmoDtuGc&#10;+RIWH20jPSUE/rcet7YJfIn2MLaRAAq72q1921VvDJPEGUJJjwcMk2TOCl4jKBpbA6XNgUqgmBYA&#10;uSpbmP+t8iSe4R7BjqpyMX2dlM6lRloxn2YIvWY4jlNdLW07U2WnsYz07Its5tRXBUA5A551cQhp&#10;NHOdJAJaxpKZcK3jZNuyLmOdLZKB1oA33KfG5lsYWezgAn1oLKghLPjdHXs3FgjnUjC7UQX3mL8D&#10;hgYHgRcEFifDe/T5QGEYNI8NBqAnLGXvUkKwIeh7UQLhQnDawsCXQN09ThCCKaxGvj5yQsMgjw0M&#10;QQuGrf8OKNrxAP9NPSopkAE6CU4V23USSnl+6yQIUIP/QAfe4/aeCzgzH5wGrHev2Yf3LWlcR6XZ&#10;GId6mX2p5SkKFdR9u0Iy8A8EIpEeY8oCkYGDkjvMRH3OAXxWSRIReA8E4kasP2MlyUlroPfcRtAx&#10;093qgSof9r41jpASPUjPbXAquDi6jb7wfGRug9MhMBC7lxrvcQ80EI8zdAooEjwGkr8HBtQNZpuC&#10;lFD8iccVt0cLetyPLfZl/f8truCsBcNWQxDvYBFBpAgaEUGkZLtZAAlCswUFPXJ3P3k3kKXh/CYL&#10;sQ5tn++RpmGUMNzmRuYxSe223OYCJBGMNNuW+AGFSNEKsYF0wF15mp5+O8o8kztDfn2SMm8wHwV+&#10;oIPHux0H8yH8BGGHKIQCaIq+52BC0pYnjtHn44w++SYj1fUcXTm5Dy9xShWElQYRVBK5KyyJB8SE&#10;OUxMSAjlPZiYPgrZv8kWdUxEuomifUxEfR+TgsZEjEtFdrQ/VQFHz2JS/Efnfj/nfkMKh5BD5Rfz&#10;FcWNgbTKQJjbQ5atcz9aKIwGzwcH5BdGszdnXAnpirC7nV435QplFUizE7fmAVozxzTHnGvn1OaR&#10;Bc9ik0npUmpX/exFqRA/82bDEgaZrV2358NZKmbXEBLEh9SY8a+wJkc5fuvZ3r7x91OU42JYjkME&#10;B1Hb/fM4ARekhSEwE6PmTLHDTAJ8fwPDOwLC53MoeHvG55HxEviS91LwhHSvCezDS0woKkDfoZAg&#10;lAYo+3qpPQJ6HOWFleMgC+Fux4PyBB+DHFc35droob6DwUUOENytjRgYpG8jxikejhz1+E23wQbU&#10;nrpJj7NDIyZFgUltwAQHqszm0jqsqgLSnrEfs6E71/UGDLQ5u+jIr4O3EBHKl7fR3PPaQvaGYRGa&#10;g/Xmmiberez+bW42ba+mnvw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AgAAFtDb250ZW50X1R5cGVzXS54bWxQSwECFAAKAAAAAACHTuJAAAAA&#10;AAAAAAAAAAAABgAAAAAAAAAAABAAAAAyBwAAX3JlbHMvUEsBAhQAFAAAAAgAh07iQIoUZjzRAAAA&#10;lAEAAAsAAAAAAAAAAQAgAAAAVgcAAF9yZWxzLy5yZWxzUEsBAhQACgAAAAAAh07iQAAAAAAAAAAA&#10;AAAAAAQAAAAAAAAAAAAQAAAAAAAAAGRycy9QSwECFAAUAAAACACHTuJA3TVCHNgAAAAFAQAADwAA&#10;AAAAAAABACAAAAAiAAAAZHJzL2Rvd25yZXYueG1sUEsBAhQAFAAAAAgAh07iQHWVbKHfBQAA4ioA&#10;AA4AAAAAAAAAAQAgAAAAJwEAAGRycy9lMm9Eb2MueG1sUEsFBgAAAAAGAAYAWQEAAHgJAAAAAA==&#10;">
                        <v:fill on="f" focussize="0,0"/>
                        <v:stroke on="f"/>
                        <v:imagedata o:title=""/>
                        <o:lock v:ext="edit" aspectratio="f"/>
                      </v:shape>
                      <v:shape id="文本框 76" o:spid="_x0000_s1026" o:spt="202" type="#_x0000_t202" style="position:absolute;left:739140;top:915670;height:224790;width:459105;" filled="f" stroked="f" coordsize="21600,21600" o:gfxdata="UEsDBAoAAAAAAIdO4kAAAAAAAAAAAAAAAAAEAAAAZHJzL1BLAwQUAAAACACHTuJAXFd7WNYAAAAF&#10;AQAADwAAAGRycy9kb3ducmV2LnhtbE2PS0/DMBCE70j9D9ZW4kbtBNRHGqeqEJyQEGk4cHTibWI1&#10;XofYffDvMVzay0qjGc18m28utmcnHL1xJCGZCWBIjdOGWgmf1evDEpgPirTqHaGEH/SwKSZ3ucq0&#10;O1OJp11oWSwhnykJXQhDxrlvOrTKz9yAFL29G60KUY4t16M6x3Lb81SIObfKUFzo1IDPHTaH3dFK&#10;2H5R+WK+3+uPcl+aqloJepsfpLyfJmINLOAlXMPwhx/RoYhMtTuS9qyXEB8J/zd6y8ckBVZLSBer&#10;J+BFzm/pi19QSwMEFAAAAAgAh07iQFT3/bLGAQAAfgMAAA4AAABkcnMvZTJvRG9jLnhtbK1TS27b&#10;MBDdF8gdCO5rSo4/tWA5QGEkKBC0BdIegKZIiwB/IGlLvkBzg6666b7n8jk6pKWkTTdZdEMNZwZv&#10;3ntDrW96rdCR+yCtqXE5KTDihtlGmn2Nv365ffsOoxCpaaiyhtf4xAO+2Vy9WXeu4lPbWtVwjwDE&#10;hKpzNW5jdBUhgbVc0zCxjhsoCus1jXD1e9J42gG6VmRaFAvSWd84bxkPAbLbSxEPiP41gFYIyfjW&#10;soPmJl5QPVc0gqTQShfwJrMVgrP4SYjAI1I1BqUxnzAE4l06yWZNq72nrpVsoEBfQ+GFJk2lgaFP&#10;UFsaKTp4+Q+UlszbYEWcMKvJRUh2BFSUxQtvHlrqeNYCVgf3ZHr4f7Ds4/GzR7KBl3A9x8hQDSs/&#10;f388//h1/vkNLRfJoc6FChofHLTG/r3toXvMB0gm4b3wOn1BEoL68npVzsDkU41X5XyxHJzmfUQM&#10;yrP5qixgHoP6dDpbrnKdPMM4H+IdtxqloMYeFpn9pcf7EIEStI4taaqxt1KpvExl/kpAY8qQpOHC&#10;NUWx3/WDsJ1tTqBLfTBga3oiY+DHYDcGB+flvgU6WX2GhLVkMsMTSnv/854HP/82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cV3tY1gAAAAUBAAAPAAAAAAAAAAEAIAAAACIAAABkcnMvZG93bnJl&#10;di54bWxQSwECFAAUAAAACACHTuJAVPf9ssYBAAB+AwAADgAAAAAAAAABACAAAAAlAQAAZHJzL2Uy&#10;b0RvYy54bWxQSwUGAAAAAAYABgBZAQAAXQUAAAAA&#10;">
                        <v:fill on="f" focussize="0,0"/>
                        <v:stroke on="f"/>
                        <v:imagedata o:title=""/>
                        <o:lock v:ext="edit" aspectratio="f"/>
                        <v:textbox inset="0mm,0mm,0mm,0mm">
                          <w:txbxContent>
                            <w:p w14:paraId="6D8DC990">
                              <w:r>
                                <w:rPr>
                                  <w:rFonts w:hint="eastAsia"/>
                                </w:rPr>
                                <w:t>新鲜水</w:t>
                              </w:r>
                            </w:p>
                          </w:txbxContent>
                        </v:textbox>
                      </v:shape>
                      <v:line id="直接连接符 77" o:spid="_x0000_s1026" o:spt="20" style="position:absolute;left:443865;top:960755;height:635;width:986790;" filled="f" stroked="t" coordsize="21600,21600" o:gfxdata="UEsDBAoAAAAAAIdO4kAAAAAAAAAAAAAAAAAEAAAAZHJzL1BLAwQUAAAACACHTuJAUEXfA9cAAAAF&#10;AQAADwAAAGRycy9kb3ducmV2LnhtbE2PwU7DMBBE70j8g7VI3KiTgCANcXpAKpcWUFuEys2NlyQi&#10;Xke204a/Z+ECl5VGM5p5Wy4m24sj+tA5UpDOEhBItTMdNQped8urHESImozuHaGCLwywqM7PSl0Y&#10;d6INHrexEVxCodAK2hiHQspQt2h1mLkBib0P562OLH0jjdcnLre9zJLkVlrdES+0esCHFuvP7WgV&#10;bNbLVf62Gqfavz+mz7uX9dM+5EpdXqTJPYiIU/wLww8+o0PFTAc3kgmiV8CPxN/LXn6dZiAOCrK7&#10;+Q3IqpT/6atvUEsDBBQAAAAIAIdO4kBteVdVBAIAAOoDAAAOAAAAZHJzL2Uyb0RvYy54bWytU0uO&#10;EzEQ3SNxB8t70plk0kla6cxiwrBBEAk4QMV2d1vyT7YnnVyCCyCxgxVL9tyG4RiU3WECg5BmQRZO&#10;2fX8qt7r8urqoBXZCx+kNTW9GI0pEYZZLk1b03dvb54tKAkRDAdljajpUQR6tX76ZNW7SkxsZxUX&#10;niCJCVXvatrF6KqiCKwTGsLIOmEw2VivIeLWtwX30CO7VsVkPC6L3nruvGUiBDzdDEl6YvSPIbRN&#10;I5nYWHarhYkDqxcKIkoKnXSBrnO3TSNYfN00QUSiaopKY16xCMa7tBbrFVStB9dJdmoBHtPCA00a&#10;pMGi91QbiEBuvfyLSkvmbbBNHDGri0FIdgRVXIwfePOmAyeyFrQ6uHvTw/+jZa/2W08kx0mYlpQY&#10;0PjJ7z58/f7+049vH3G9+/KZzOfJp96FCuHXZutPu+C2Pok+NF6nf5RDDjW9vJwuyhklx5ouy/F8&#10;NhtcFodIGKaXi3K+RP8Z5stpThZnDudDfCGsJimoqZImOQAV7F+GiHUR+guSjpUhPVLOJliPAY5j&#10;g2OAoXYoKZg23w1WSX4jlUo3gm9318qTPaSRyL/UH/L+AUtFNhC6AZdTg4xOAH9uOIlHh1YZfCM0&#10;taAFp0QJfFIpQkKoIkh1RkYvwbTqH2gsrwx2kUwebE3RzvJjdjuf4wjkPk/jmmbs932+fX6i6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QRd8D1wAAAAUBAAAPAAAAAAAAAAEAIAAAACIAAABkcnMv&#10;ZG93bnJldi54bWxQSwECFAAUAAAACACHTuJAbXlXVQQCAADqAwAADgAAAAAAAAABACAAAAAmAQAA&#10;ZHJzL2Uyb0RvYy54bWxQSwUGAAAAAAYABgBZAQAAnAUAAAAA&#10;">
                        <v:fill on="f" focussize="0,0"/>
                        <v:stroke color="#000000" joinstyle="round" endarrow="block"/>
                        <v:imagedata o:title=""/>
                        <o:lock v:ext="edit" aspectratio="f"/>
                      </v:line>
                      <v:line id="直接连接符 86" o:spid="_x0000_s1026" o:spt="20" style="position:absolute;left:1446530;top:540385;height:909955;width:0;" filled="f" stroked="t" coordsize="21600,21600" o:gfxdata="UEsDBAoAAAAAAIdO4kAAAAAAAAAAAAAAAAAEAAAAZHJzL1BLAwQUAAAACACHTuJAYzF8Y9UAAAAF&#10;AQAADwAAAGRycy9kb3ducmV2LnhtbE2PzU7DMBCE70i8g7VIXCpqJ0VQQjY9ALlxoYC4buMliYjX&#10;aez+wNNjuMBlpdGMZr4tV0c3qD1PofeCkM0NKJbG215ahJfn+mIJKkQSS4MXRvjkAKvq9KSkwvqD&#10;PPF+HVuVSiQUhNDFOBZah6ZjR2HuR5bkvfvJUUxyarWd6JDK3aBzY660o17SQkcj33XcfKx3DiHU&#10;r7ytv2bNzLwtWs/59v7xgRDPzzJzCyryMf6F4Qc/oUOVmDZ+JzaoASE9En9v8paLLAe1Qcivby5B&#10;V6X+T199A1BLAwQUAAAACACHTuJAOqzUWfsBAADlAwAADgAAAGRycy9lMm9Eb2MueG1srVPNjtMw&#10;EL4j8Q6W7zTZtilt1HQPW5YLgkqwDzC1ncaS/2R7m/YleAEkbnDiyJ23YXkMxk53F5ZLD+TgjD3j&#10;b+b7PLO8PGhF9sIHaU1DL0YlJcIwy6XZNfTmw/WLOSUhguGgrBENPYpAL1fPny17V4ux7aziwhME&#10;MaHuXUO7GF1dFIF1QkMYWScMOlvrNUTc+l3BPfSIrlUxLstZ0VvPnbdMhICn68FJT4j+HEDbtpKJ&#10;tWW3Wpg4oHqhICKl0EkX6CpX27aCxXdtG0QkqqHINOYVk6C9TWuxWkK98+A6yU4lwDklPOGkQRpM&#10;+gC1hgjk1st/oLRk3gbbxhGzuhiIZEWQxUX5RJv3HTiRuaDUwT2IHv4fLHu733giOXbC5CUlBjQ+&#10;+d2n7z8/fvn14zOud9++kvks6dS7UGP4ldn40y64jU+kD63X6Y90yAGRptNZNUGFjw2tpuVkXg0y&#10;i0MkDP3oYehalItFlV3FI4TzIb4WVpNkNFRJkwSAGvZvQsS0GHofko6VIT0iVeMKMQG7scUuQFM7&#10;ZBTMLt8NVkl+LZVKN4Lfba+UJ3tIHZG/VB3i/hWWkqwhdENcdg0kOgH8leEkHh0qZXBEaCpBC06J&#10;EjhRyUJAqCNIdU4kplYGK0j6Dooma2v5MQudz/H1c42nTk3t9ec+336czt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zF8Y9UAAAAFAQAADwAAAAAAAAABACAAAAAiAAAAZHJzL2Rvd25yZXYueG1s&#10;UEsBAhQAFAAAAAgAh07iQDqs1Fn7AQAA5QMAAA4AAAAAAAAAAQAgAAAAJAEAAGRycy9lMm9Eb2Mu&#10;eG1sUEsFBgAAAAAGAAYAWQEAAJEFAAAAAA==&#10;">
                        <v:fill on="f" focussize="0,0"/>
                        <v:stroke color="#000000" joinstyle="round"/>
                        <v:imagedata o:title=""/>
                        <o:lock v:ext="edit" aspectratio="f"/>
                      </v:line>
                      <v:line id="直接连接符 91" o:spid="_x0000_s1026" o:spt="20" style="position:absolute;left:1455420;top:548640;height:635;width:553720;" filled="f" stroked="t" coordsize="21600,21600" o:gfxdata="UEsDBAoAAAAAAIdO4kAAAAAAAAAAAAAAAAAEAAAAZHJzL1BLAwQUAAAACACHTuJAUEXfA9cAAAAF&#10;AQAADwAAAGRycy9kb3ducmV2LnhtbE2PwU7DMBBE70j8g7VI3KiTgCANcXpAKpcWUFuEys2NlyQi&#10;Xke204a/Z+ECl5VGM5p5Wy4m24sj+tA5UpDOEhBItTMdNQped8urHESImozuHaGCLwywqM7PSl0Y&#10;d6INHrexEVxCodAK2hiHQspQt2h1mLkBib0P562OLH0jjdcnLre9zJLkVlrdES+0esCHFuvP7WgV&#10;bNbLVf62Gqfavz+mz7uX9dM+5EpdXqTJPYiIU/wLww8+o0PFTAc3kgmiV8CPxN/LXn6dZiAOCrK7&#10;+Q3IqpT/6atvUEsDBBQAAAAIAIdO4kAa9e/2AAIAAOsDAAAOAAAAZHJzL2Uyb0RvYy54bWytU0uO&#10;1DAQ3SNxB8t7Ov1LMxN1ehbTDBsEIwEHqLadxJJ/sj2d7ktwASR2sGLJfm7DcAzKTpiGQUizIAun&#10;7Hp+rvdcXl8ctCJ74YO0pqazyZQSYZjl0rQ1ff/u6tkZJSGC4aCsETU9ikAvNk+frHtXibntrOLC&#10;EyQxoepdTbsYXVUUgXVCQ5hYJwwmG+s1RJz6tuAeemTXqphPp6uit547b5kIAVe3Q5KOjP4xhLZp&#10;JBNby260MHFg9UJBREmhky7QTa62aQSLb5omiEhUTVFpzCMegvEujcVmDVXrwXWSjSXAY0p4oEmD&#10;NHjoPdUWIpAbL/+i0pJ5G2wTJ8zqYhCSHUEVs+kDb9524ETWglYHd296+H+07PX+2hPJsRMWePEG&#10;NF753cdv3z98/nH7Cce7r1/I+Sz51LtQIfzSXPtxFty1T6IPjdfpj3LIAZmWZbmco8PHmpbLs9Vy&#10;tFkcImGYL8vF85RmmF8tysRdnEicD/GlsJqkoKZKmmQBVLB/FeIA/QVJy8qQvqbn5bxEQsB+bLAP&#10;MNQONQXT5r3BKsmvpFJpR/Dt7lJ5sofUE/kbS/gDlg7ZQugGXE4lGFSdAP7CcBKPDr0y+EhoKkEL&#10;TokS+KZSlJERpDoho5dgWvUPNDqgDBqRXB58TdHO8mO2O69jD2Srxn5NTfb7PO8+vdHN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BF3wPXAAAABQEAAA8AAAAAAAAAAQAgAAAAIgAAAGRycy9kb3du&#10;cmV2LnhtbFBLAQIUABQAAAAIAIdO4kAa9e/2AAIAAOsDAAAOAAAAAAAAAAEAIAAAACYBAABkcnMv&#10;ZTJvRG9jLnhtbFBLBQYAAAAABgAGAFkBAACYBQAAAAA=&#10;">
                        <v:fill on="f" focussize="0,0"/>
                        <v:stroke color="#000000" joinstyle="round" endarrow="block"/>
                        <v:imagedata o:title=""/>
                        <o:lock v:ext="edit" aspectratio="f"/>
                      </v:line>
                      <v:shape id="文本框 92" o:spid="_x0000_s1026" o:spt="202" type="#_x0000_t202" style="position:absolute;left:2026285;top:427355;height:195580;width:770890;" fillcolor="#FFFFFF" filled="t" stroked="t" coordsize="21600,21600" o:gfxdata="UEsDBAoAAAAAAIdO4kAAAAAAAAAAAAAAAAAEAAAAZHJzL1BLAwQUAAAACACHTuJA/mkn49UAAAAF&#10;AQAADwAAAGRycy9kb3ducmV2LnhtbE2PS0/DMBCE70j8B2uRuFEnBkEb4lQUCQnEpQ/E2Y03D4jX&#10;kb1Ny7/HcIHLSqMZzXxbLk9uEBOG2HvSkM8yEEi1tz21Gt52T1dzEJENWTN4Qg1fGGFZnZ+VprD+&#10;SBucttyKVEKxMBo65rGQMtYdOhNnfkRKXuODM5xkaKUN5pjK3SBVlt1KZ3pKC50Z8bHD+nN7cBp2&#10;0yo+bz54YV+alVSvzVq9hwetLy/y7B4E44n/wvCDn9ChSkx7fyAbxaAhPcK/N3nz61yB2GtQd4sb&#10;kFUp/9NX31BLAwQUAAAACACHTuJAj30poikCAABnBAAADgAAAGRycy9lMm9Eb2MueG1srVRNrtMw&#10;EN4jcQfLe5o0j7w2VdMnQSlCQoD04ACu7SSW/CfbbdILwA1YsWH/ztVzMHba9weLLsgiGXvG38z3&#10;zTjLm0FJtOfOC6NrPJ3kGHFNDRO6rfG3r5tXc4x8IJoRaTSv8YF7fLN6+WLZ2wUvTGck4w4BiPaL&#10;3ta4C8EusszTjiviJ8ZyDc7GOEUCLF2bMUd6QFcyK/L8OuuNY9YZyr2H3fXoxCdEdwmgaRpB+drQ&#10;neI6jKiOSxKAku+E9XiVqm0aTsPnpvE8IFljYBrSG5KAvY3vbLUki9YR2wl6KoFcUsIzTooIDUnv&#10;odYkELRz4i8oJagz3jRhQo3KRiJJEWAxzZ9pc9sRyxMXkNrbe9H9/4Oln/ZfHBIMJuGqwkgTBS0/&#10;/vxx/HV3/P0dVUVUqLd+AYG3FkLD8MYMEH3e97AZiQ+NU/ELlBD4i7y4LuYlRocavy5mV2U5Ss2H&#10;gCj4Z7N8XkETKPinVVnOUyuyBxzrfHjPjULRqLGDTiaByf6jD1AThJ5DYlpvpGAbIWVauHb7Vjq0&#10;J9D1TXpidjjyJExq1Ne4KgsokxIY5QZGCExlQQ6v25TvyQn/GDhPz7+AY2Fr4ruxgIQwslcicJdG&#10;ruOEvdMMhYMFwTXcNByLUZxhJDlczGilyECEvCQS2EkNJGOzxqZEKwzbAWCiuTXsAA2UHzTMT7wL&#10;Z8Odje3Z2Fkn2g5kT21OkDB/ScHTXYkD/nidEj/8H1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5pJ+PVAAAABQEAAA8AAAAAAAAAAQAgAAAAIgAAAGRycy9kb3ducmV2LnhtbFBLAQIUABQAAAAI&#10;AIdO4kCPfSmiKQIAAGcEAAAOAAAAAAAAAAEAIAAAACQBAABkcnMvZTJvRG9jLnhtbFBLBQYAAAAA&#10;BgAGAFkBAAC/BQAAAAA=&#10;">
                        <v:fill on="t" focussize="0,0"/>
                        <v:stroke color="#000000" joinstyle="miter"/>
                        <v:imagedata o:title=""/>
                        <o:lock v:ext="edit" aspectratio="f"/>
                        <v:textbox inset="0mm,0mm,0mm,0mm">
                          <w:txbxContent>
                            <w:p w14:paraId="40C4F5AF">
                              <w:pPr>
                                <w:widowControl/>
                                <w:snapToGrid w:val="0"/>
                                <w:jc w:val="center"/>
                              </w:pPr>
                              <w:r>
                                <w:rPr>
                                  <w:rFonts w:hint="eastAsia"/>
                                </w:rPr>
                                <w:t>生活用水</w:t>
                              </w:r>
                            </w:p>
                          </w:txbxContent>
                        </v:textbox>
                      </v:shape>
                      <v:shape id="文本框 98" o:spid="_x0000_s1026" o:spt="202" type="#_x0000_t202" style="position:absolute;left:1603375;top:340360;height:215900;width:284480;" filled="f" stroked="f" coordsize="21600,21600" o:gfxdata="UEsDBAoAAAAAAIdO4kAAAAAAAAAAAAAAAAAEAAAAZHJzL1BLAwQUAAAACACHTuJAXFd7WNYAAAAF&#10;AQAADwAAAGRycy9kb3ducmV2LnhtbE2PS0/DMBCE70j9D9ZW4kbtBNRHGqeqEJyQEGk4cHTibWI1&#10;XofYffDvMVzay0qjGc18m28utmcnHL1xJCGZCWBIjdOGWgmf1evDEpgPirTqHaGEH/SwKSZ3ucq0&#10;O1OJp11oWSwhnykJXQhDxrlvOrTKz9yAFL29G60KUY4t16M6x3Lb81SIObfKUFzo1IDPHTaH3dFK&#10;2H5R+WK+3+uPcl+aqloJepsfpLyfJmINLOAlXMPwhx/RoYhMtTuS9qyXEB8J/zd6y8ckBVZLSBer&#10;J+BFzm/pi19QSwMEFAAAAAgAh07iQGKAu3TGAQAAfwMAAA4AAABkcnMvZTJvRG9jLnhtbK1TS27b&#10;MBDdF+gdCO5ryZ+4jmA5QGGkKFC0BdIegKZIiwB/GNKWfIH2Bl11033P5XN0SEtJk2yy6IYazgze&#10;vPeGWt/0RpOjgKCcrel0UlIiLHeNsvuafvt6+2ZFSYjMNkw7K2p6EoHebF6/Wne+EjPXOt0IIAhi&#10;Q9X5mrYx+qooAm+FYWHivLBYlA4Mi3iFfdEA6xDd6GJWlsuic9B4cFyEgNntpUgHRHgJoJNScbF1&#10;/GCEjRdUEJpFlBRa5QPdZLZSCh4/SxlEJLqmqDTmE4dgvEtnsVmzag/Mt4oPFNhLKDzRZJiyOPQe&#10;assiIwdQz6CM4uCCk3HCnSkuQrIjqGJaPvHmrmVeZC1odfD3pof/B8s/Hb8AUQ2+hAV6YpnBlZ9/&#10;/jj/+nP+/Z1cr5JDnQ8VNt55bI39O9dj95gPmEzCewkmfVESSfVlOZ+/vaLkVNP5opwvB6tFHwnH&#10;+my1WKxwIMf6bHp1XeZ68YDjIcT3whmSgpoCbjIbzI4fQ0RO2Dq2pLHW3Sqt8za1fZTAxpQpkogL&#10;2RTFftcPynauOaEw/cGir+mNjAGMwW4MDh7UvkU6WX6GxL1kMsMbSov/954HP/w3m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cV3tY1gAAAAUBAAAPAAAAAAAAAAEAIAAAACIAAABkcnMvZG93bnJl&#10;di54bWxQSwECFAAUAAAACACHTuJAYoC7dMYBAAB/AwAADgAAAAAAAAABACAAAAAlAQAAZHJzL2Uy&#10;b0RvYy54bWxQSwUGAAAAAAYABgBZAQAAXQUAAAAA&#10;">
                        <v:fill on="f" focussize="0,0"/>
                        <v:stroke on="f"/>
                        <v:imagedata o:title=""/>
                        <o:lock v:ext="edit" aspectratio="f"/>
                        <v:textbox inset="0mm,0mm,0mm,0mm">
                          <w:txbxContent>
                            <w:p w14:paraId="537DB9FD">
                              <w:r>
                                <w:t>150</w:t>
                              </w:r>
                            </w:p>
                          </w:txbxContent>
                        </v:textbox>
                      </v:shape>
                      <v:line id="直接连接符 99" o:spid="_x0000_s1026" o:spt="20" style="position:absolute;left:2789555;top:566420;height:635;width:425450;" filled="f" stroked="t" coordsize="21600,21600" o:gfxdata="UEsDBAoAAAAAAIdO4kAAAAAAAAAAAAAAAAAEAAAAZHJzL1BLAwQUAAAACACHTuJAUEXfA9cAAAAF&#10;AQAADwAAAGRycy9kb3ducmV2LnhtbE2PwU7DMBBE70j8g7VI3KiTgCANcXpAKpcWUFuEys2NlyQi&#10;Xke204a/Z+ECl5VGM5p5Wy4m24sj+tA5UpDOEhBItTMdNQped8urHESImozuHaGCLwywqM7PSl0Y&#10;d6INHrexEVxCodAK2hiHQspQt2h1mLkBib0P562OLH0jjdcnLre9zJLkVlrdES+0esCHFuvP7WgV&#10;bNbLVf62Gqfavz+mz7uX9dM+5EpdXqTJPYiIU/wLww8+o0PFTAc3kgmiV8CPxN/LXn6dZiAOCrK7&#10;+Q3IqpT/6atvUEsDBBQAAAAIAIdO4kAtt4hhAwIAAOsDAAAOAAAAZHJzL2Uyb0RvYy54bWytU02O&#10;0zAU3iNxB8t7mjY0ZRo1ncWUYYOgEnCAV9tJLPlPtqdpL8EFkNjBiiV7bsNwDJ6dMoVBSLMgC+fZ&#10;7/Pn931+Xl0etCJ74YO0pqGzyZQSYZjl0nQNfff2+skFJSGC4aCsEQ09ikAv148frQZXi9L2VnHh&#10;CZKYUA+uoX2Mri6KwHqhIUysEwaTrfUaIk59V3APA7JrVZTT6aIYrOfOWyZCwNXNmKQnRv8QQtu2&#10;komNZTdamDiyeqEgoqTQSxfoOlfbtoLF120bRCSqoag05hEPwXiXxmK9grrz4HrJTiXAQ0q4p0mD&#10;NHjoHdUGIpAbL/+i0pJ5G2wbJ8zqYhSSHUEVs+k9b9704ETWglYHd2d6+H+07NV+64nk2AnzGSUG&#10;NF757Yev399/+vHtI463Xz6T5TL5NLhQI/zKbP1pFtzWJ9GH1uv0Rznk0NDy2cWyqipKjg2tFot5&#10;ebJZHCJhmJ+X1bzCC2CYXzytEndxJnE+xBfCapKChippkgVQw/5liCP0FyQtK0OGhi6rEs9jgP3Y&#10;Yh9gqB1qCqbLe4NVkl9LpdKO4LvdlfJkD6kn8ncq4Q9YOmQDoR9xOZVgUPcC+HPDSTw69MrgI6Gp&#10;BC04JUrgm0pRRkaQ6oyMXoLp1D/Q6IAyaERyefQ1RTvLj9nuvI49kK069Wtqst/neff5ja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FBF3wPXAAAABQEAAA8AAAAAAAAAAQAgAAAAIgAAAGRycy9k&#10;b3ducmV2LnhtbFBLAQIUABQAAAAIAIdO4kAtt4hhAwIAAOsDAAAOAAAAAAAAAAEAIAAAACYBAABk&#10;cnMvZTJvRG9jLnhtbFBLBQYAAAAABgAGAFkBAACbBQAAAAA=&#10;">
                        <v:fill on="f" focussize="0,0"/>
                        <v:stroke color="#000000" joinstyle="round" endarrow="block"/>
                        <v:imagedata o:title=""/>
                        <o:lock v:ext="edit" aspectratio="f"/>
                      </v:line>
                      <v:line id="直接连接符 100" o:spid="_x0000_s1026" o:spt="20" style="position:absolute;left:2104390;top:60325;height:372745;width:635;" filled="f" stroked="t" coordsize="21600,21600" o:gfxdata="UEsDBAoAAAAAAIdO4kAAAAAAAAAAAAAAAAAEAAAAZHJzL1BLAwQUAAAACACHTuJAT16o99gAAAAF&#10;AQAADwAAAGRycy9kb3ducmV2LnhtbE2PzU7DMBCE70h9B2srcaNOAoI0xKlQUaFSuFC49ObG2yQl&#10;Xkex+/f2XXqBy0qjGc18m89OthMHHHzrSEE8iUAgVc60VCv4/lrcpSB80GR05wgVnNHDrBjd5Doz&#10;7kifeFiFWnAJ+UwraELoMyl91aDVfuJ6JPa2brA6sBxqaQZ95HLbySSKHqXVLfFCo3ucN1j9rPZW&#10;wfKtSt/PH+tyPt2VrVy8luvlS6nU7TiOnkEEPIW/MPziMzoUzLRxezJedAr4kXC97KX3cQJioyB5&#10;mj6ALHL5n764AFBLAwQUAAAACACHTuJAzljRzAQCAADrAwAADgAAAGRycy9lMm9Eb2MueG1srVNL&#10;jhMxEN0jcQfLe9KdzmeYVjqzmDBsEIwEHKBiu7st+Sfbk04uwQWQ2MGKJfu5DcMxKLvDBAYWsyAL&#10;p+wqv6r3+nl1sdeK7IQP0pqGTiclJcIwy6XpGvr+3dWz55SECIaDskY09CACvVg/fbIaXC0q21vF&#10;hScIYkI9uIb2Mbq6KALrhYYwsU4YTLbWa4i49V3BPQyIrlVRleWyGKznzlsmQsDTzZikR0T/GEDb&#10;tpKJjWU3Wpg4onqhICKl0EsX6DpP27aCxTdtG0QkqqHINOYVm2C8TWuxXkHdeXC9ZMcR4DEjPOCk&#10;QRpseg+1gQjkxsu/oLRk3gbbxgmzuhiJZEWQxbR8oM3bHpzIXFDq4O5FD/8Plr3eXXsiOTphXlFi&#10;QOMnv/v47fuHzz9uP+F69/ULmZZZqMGFGusvzbVH2dIuuGufWO9br9M/8iH7hlbTcj47R4kPDV2W&#10;s2oxyiz2kTBML2cLShjmZmfV2TwnixOG8yG+FFaTFDRUSZMkgBp2r0LEvlj6qyQdK0OGhp4vsAlh&#10;gH5s0QcYaoecguny3WCV5FdSqXQj+G57qTzZQfJE/qX5EPePstRkA6Ef63JqpNEL4C8MJ/HgUKvo&#10;JZhOCZrG0IJTogS+qxRlb0WQ6lRt8En9uxLbK4NTnGRN0dbyQ1Y7n6MH8pxHvyaT/b7Pt09vdP0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16o99gAAAAFAQAADwAAAAAAAAABACAAAAAiAAAAZHJz&#10;L2Rvd25yZXYueG1sUEsBAhQAFAAAAAgAh07iQM5Y0cwEAgAA6wMAAA4AAAAAAAAAAQAgAAAAJwEA&#10;AGRycy9lMm9Eb2MueG1sUEsFBgAAAAAGAAYAWQEAAJ0FAAAAAA==&#10;">
                        <v:fill on="f" focussize="0,0"/>
                        <v:stroke color="#000000" joinstyle="round" startarrow="block"/>
                        <v:imagedata o:title=""/>
                        <o:lock v:ext="edit" aspectratio="f"/>
                      </v:line>
                      <v:shape id="文本框 102" o:spid="_x0000_s1026" o:spt="202" type="#_x0000_t202" style="position:absolute;left:2165985;top:166370;height:215900;width:686435;" filled="f" stroked="f" coordsize="21600,21600" o:gfxdata="UEsDBAoAAAAAAIdO4kAAAAAAAAAAAAAAAAAEAAAAZHJzL1BLAwQUAAAACACHTuJAXFd7WNYAAAAF&#10;AQAADwAAAGRycy9kb3ducmV2LnhtbE2PS0/DMBCE70j9D9ZW4kbtBNRHGqeqEJyQEGk4cHTibWI1&#10;XofYffDvMVzay0qjGc18m28utmcnHL1xJCGZCWBIjdOGWgmf1evDEpgPirTqHaGEH/SwKSZ3ucq0&#10;O1OJp11oWSwhnykJXQhDxrlvOrTKz9yAFL29G60KUY4t16M6x3Lb81SIObfKUFzo1IDPHTaH3dFK&#10;2H5R+WK+3+uPcl+aqloJepsfpLyfJmINLOAlXMPwhx/RoYhMtTuS9qyXEB8J/zd6y8ckBVZLSBer&#10;J+BFzm/pi19QSwMEFAAAAAgAh07iQJZIPpnHAQAAgAMAAA4AAABkcnMvZTJvRG9jLnhtbK1TS27b&#10;MBDdF+gdCO5rfRyrjmA5QGAkCFC0BdIegKZIiwB/IGlLvkB7g6666b7n8jk6pKWkSTZZZEMNZx7e&#10;zHtDra4GJdGBOS+MbnAxyzFimppW6F2Dv3+7+bDEyAeiWyKNZg0+Mo+v1u/frXpbs9J0RrbMISDR&#10;vu5tg7sQbJ1lnnZMET8zlmkocuMUCXB1u6x1pAd2JbMyz6usN661zlDmPWQ35yIeGd1rCA3ngrKN&#10;oXvFdDizOiZJAEm+E9bjdZqWc0bDF849C0g2GJSGdEITiLfxzNYrUu8csZ2g4wjkNSM806SI0ND0&#10;gWpDAkF7J15QKUGd8YaHGTUqOwtJjoCKIn/mzX1HLEtawGpvH0z3b0dLPx++OiRaeAkXc4w0UbDy&#10;06+fp99/T39+oCIvo0W99TUg7y1gw3BtBoBPeQ/JqHzgTsUvaEJQL4tqcblcYHQEbFXNP45esyEg&#10;CvVqWV3MoUyhXhaLyzzVs0ce63y4ZUahGDTYwSqTw+TwyQeYCaATJLbV5kZImdYp9ZMEAGMmiyLO&#10;w8YoDNthVLY17RGEyTsNxsZHMgVuCrZTsLdO7DoYJ8lPlLCYNMz4iOLm/7+nxo8/zv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XFd7WNYAAAAFAQAADwAAAAAAAAABACAAAAAiAAAAZHJzL2Rvd25y&#10;ZXYueG1sUEsBAhQAFAAAAAgAh07iQJZIPpnHAQAAgAMAAA4AAAAAAAAAAQAgAAAAJQEAAGRycy9l&#10;Mm9Eb2MueG1sUEsFBgAAAAAGAAYAWQEAAF4FAAAAAA==&#10;">
                        <v:fill on="f" focussize="0,0"/>
                        <v:stroke on="f"/>
                        <v:imagedata o:title=""/>
                        <o:lock v:ext="edit" aspectratio="f"/>
                        <v:textbox inset="0mm,0mm,0mm,0mm">
                          <w:txbxContent>
                            <w:p w14:paraId="6EAC0ED4">
                              <w:r>
                                <w:rPr>
                                  <w:rFonts w:hint="eastAsia"/>
                                </w:rPr>
                                <w:t>损耗</w:t>
                              </w:r>
                              <w:r>
                                <w:t>30</w:t>
                              </w:r>
                            </w:p>
                          </w:txbxContent>
                        </v:textbox>
                      </v:shape>
                      <v:shape id="文本框 103" o:spid="_x0000_s1026" o:spt="202" type="#_x0000_t202" style="position:absolute;left:3213100;top:436245;height:189230;width:615315;" fillcolor="#FFFFFF" filled="t" stroked="t" coordsize="21600,21600" o:gfxdata="UEsDBAoAAAAAAIdO4kAAAAAAAAAAAAAAAAAEAAAAZHJzL1BLAwQUAAAACACHTuJA/mkn49UAAAAF&#10;AQAADwAAAGRycy9kb3ducmV2LnhtbE2PS0/DMBCE70j8B2uRuFEnBkEb4lQUCQnEpQ/E2Y03D4jX&#10;kb1Ny7/HcIHLSqMZzXxbLk9uEBOG2HvSkM8yEEi1tz21Gt52T1dzEJENWTN4Qg1fGGFZnZ+VprD+&#10;SBucttyKVEKxMBo65rGQMtYdOhNnfkRKXuODM5xkaKUN5pjK3SBVlt1KZ3pKC50Z8bHD+nN7cBp2&#10;0yo+bz54YV+alVSvzVq9hwetLy/y7B4E44n/wvCDn9ChSkx7fyAbxaAhPcK/N3nz61yB2GtQd4sb&#10;kFUp/9NX31BLAwQUAAAACACHTuJASfEP1CcCAABoBAAADgAAAGRycy9lMm9Eb2MueG1srVTLrtMw&#10;EN0j8Q+W9zSvtrq3anolKEVICJAufIBrO4klv2S7TfoD8Aes2LDnu/odjJ32vhddkEUy9ozPzDkz&#10;zvJmUBLtufPC6BoXkxwjrqlhQrc1/v5t8+YKIx+IZkQazWt84B7frF6/WvZ2wUvTGcm4QwCi/aK3&#10;Ne5CsIss87TjiviJsVyDszFOkQBL12bMkR7QlczKPJ9nvXHMOkO597C7Hp34hOguATRNIyhfG7pT&#10;XIcR1XFJAlDynbAer1K1TcNp+NI0ngckawxMQ3pDErC38Z2tlmTROmI7QU8lkEtKeMJJEaEh6R3U&#10;mgSCdk48g1KCOuNNEybUqGwkkhQBFkX+RJvbjlieuIDU3t6J7v8fLP28/+qQYDAJ0ylGmiho+fHX&#10;z+Pvv8c/P1CRV1Gi3voFRN5aiA3DWzNA+Hnfw2ZkPjROxS9wQuCvyqIqcpD5UONpNS+ns1FrPgRE&#10;wT8vZlUxw4iCv7i6LqvUi+wexzofPnCjUDRq7KCVSWGy/+QD1ASh55CY1hsp2EZImRau3b6TDu0J&#10;tH2TnpgdjjwKkxr1Nb6elbEOArPcwAyBqSzo4XWb8j064R8C5+l5CTgWtia+GwtICCN7JQJ3aeY6&#10;Tth7zVA4WFBcw1XDsRjFGUaSw82MVooMRMhLIoGd1EAyNmtsSrTCsB0AJppbww7QQPlRwwDFy3A2&#10;3NnYno2ddaLtQPbU5gQJA5gUPF2WOOEP1ynx/Q9i9Q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10;aSfj1QAAAAUBAAAPAAAAAAAAAAEAIAAAACIAAABkcnMvZG93bnJldi54bWxQSwECFAAUAAAACACH&#10;TuJASfEP1CcCAABoBAAADgAAAAAAAAABACAAAAAkAQAAZHJzL2Uyb0RvYy54bWxQSwUGAAAAAAYA&#10;BgBZAQAAvQUAAAAA&#10;">
                        <v:fill on="t" focussize="0,0"/>
                        <v:stroke color="#000000" joinstyle="miter"/>
                        <v:imagedata o:title=""/>
                        <o:lock v:ext="edit" aspectratio="f"/>
                        <v:textbox inset="0mm,0mm,0mm,0mm">
                          <w:txbxContent>
                            <w:p w14:paraId="7C8B0A85">
                              <w:pPr>
                                <w:spacing w:line="240" w:lineRule="auto"/>
                                <w:jc w:val="center"/>
                              </w:pPr>
                              <w:r>
                                <w:rPr>
                                  <w:rFonts w:hint="eastAsia"/>
                                </w:rPr>
                                <w:t>化粪池</w:t>
                              </w:r>
                            </w:p>
                          </w:txbxContent>
                        </v:textbox>
                      </v:shape>
                      <v:line id="直接连接符 104" o:spid="_x0000_s1026" o:spt="20" style="position:absolute;left:3845560;top:556895;height:635;width:356235;" filled="f" stroked="t" coordsize="21600,21600" o:gfxdata="UEsDBAoAAAAAAIdO4kAAAAAAAAAAAAAAAAAEAAAAZHJzL1BLAwQUAAAACACHTuJAUEXfA9cAAAAF&#10;AQAADwAAAGRycy9kb3ducmV2LnhtbE2PwU7DMBBE70j8g7VI3KiTgCANcXpAKpcWUFuEys2NlyQi&#10;Xke204a/Z+ECl5VGM5p5Wy4m24sj+tA5UpDOEhBItTMdNQped8urHESImozuHaGCLwywqM7PSl0Y&#10;d6INHrexEVxCodAK2hiHQspQt2h1mLkBib0P562OLH0jjdcnLre9zJLkVlrdES+0esCHFuvP7WgV&#10;bNbLVf62Gqfavz+mz7uX9dM+5EpdXqTJPYiIU/wLww8+o0PFTAc3kgmiV8CPxN/LXn6dZiAOCrK7&#10;+Q3IqpT/6atvUEsDBBQAAAAIAIdO4kDqel7ZAgIAAOwDAAAOAAAAZHJzL2Uyb0RvYy54bWytU02O&#10;0zAU3iNxB8t7mrTTVJ2o6SymDBsElYADvNpOYsl/sj1NewkugMQOVizZcxuGY/DslCkMQpoFWTif&#10;/Z4/v+/z8+rqoBXZCx+kNQ2dTkpKhGGWS9M19N3bm2dLSkIEw0FZIxp6FIFerZ8+WQ2uFjPbW8WF&#10;J0hiQj24hvYxurooAuuFhjCxThgMttZriDj1XcE9DMiuVTEry0UxWM+dt0yEgKubMUhPjP4xhLZt&#10;JRMby261MHFk9UJBREmhly7Qda62bQWLr9s2iEhUQ1FpzCMegniXxmK9grrz4HrJTiXAY0p4oEmD&#10;NHjoPdUGIpBbL/+i0pJ5G2wbJ8zqYhSSHUEV0/KBN296cCJrQauDuzc9/D9a9mq/9URy7IT5ghID&#10;Gq/87sPX7+8//fj2Ece7L5/JtJwnowYXasy/Nlt/mgW39Un1ofU6/VEPOTT0YjmvqgVafGwoguVl&#10;NfosDpGwFK8Ws4uKEobxBQJkK84kzof4QlhNEmiokiZ5ADXsX4Y4pv5KScvKkKGhl9UsEQI2ZIuN&#10;gFA7FBVMl/cGqyS/kUqlHcF3u2vlyR5SU+TvVMIfaemQDYR+zMuhUUYvgD83nMSjQ7MMvhKaStCC&#10;U6IEPqqEsFCoI0h1zoxegunUP7LRAWXQiOTy6GtCO8uP2e68jk2QrTo1bOqy3+d59/mRrn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EXfA9cAAAAFAQAADwAAAAAAAAABACAAAAAiAAAAZHJzL2Rv&#10;d25yZXYueG1sUEsBAhQAFAAAAAgAh07iQOp6XtkCAgAA7AMAAA4AAAAAAAAAAQAgAAAAJgEAAGRy&#10;cy9lMm9Eb2MueG1sUEsFBgAAAAAGAAYAWQEAAJoFAAAAAA==&#10;">
                        <v:fill on="f" focussize="0,0"/>
                        <v:stroke color="#000000" joinstyle="round" endarrow="block"/>
                        <v:imagedata o:title=""/>
                        <o:lock v:ext="edit" aspectratio="f"/>
                      </v:line>
                      <v:shape id="文本框 109" o:spid="_x0000_s1026" o:spt="202" type="#_x0000_t202" style="position:absolute;left:4227195;top:261620;height:570230;width:1015365;" filled="f" stroked="f" coordsize="21600,21600" o:gfxdata="UEsDBAoAAAAAAIdO4kAAAAAAAAAAAAAAAAAEAAAAZHJzL1BLAwQUAAAACACHTuJAXFd7WNYAAAAF&#10;AQAADwAAAGRycy9kb3ducmV2LnhtbE2PS0/DMBCE70j9D9ZW4kbtBNRHGqeqEJyQEGk4cHTibWI1&#10;XofYffDvMVzay0qjGc18m28utmcnHL1xJCGZCWBIjdOGWgmf1evDEpgPirTqHaGEH/SwKSZ3ucq0&#10;O1OJp11oWSwhnykJXQhDxrlvOrTKz9yAFL29G60KUY4t16M6x3Lb81SIObfKUFzo1IDPHTaH3dFK&#10;2H5R+WK+3+uPcl+aqloJepsfpLyfJmINLOAlXMPwhx/RoYhMtTuS9qyXEB8J/zd6y8ckBVZLSBer&#10;J+BFzm/pi19QSwMEFAAAAAgAh07iQNkV3D3JAQAAgQMAAA4AAABkcnMvZTJvRG9jLnhtbK1TS27b&#10;MBDdF8gdCO5rSkpsN4LlAIWRIEDRFkh7AJoiLQL8gaQt+QLpDbrqpvuey+fokJaSNt1k0Q01mnl6&#10;M+8NtboZtEIH7oO0psHlrMCIG2ZbaXYN/vrl9u07jEKkpqXKGt7gIw/4Zn3xZtW7mle2s6rlHgGJ&#10;CXXvGtzF6GpCAuu4pmFmHTdQFNZrGuHV70jraQ/sWpGqKBakt7513jIeAmQ35yIeGf1rCK0QkvGN&#10;ZXvNTTyzeq5oBEmhky7gdZ5WCM7iJyECj0g1GJTGfEITiLfpJOsVrXeeuk6ycQT6mhFeaNJUGmj6&#10;RLWhkaK9l/9Qacm8DVbEGbOanIVkR0BFWbzw5qGjjmctYHVwT6aH/0fLPh4+eyRbuAlXS4wM1bDy&#10;0/dvpx+/Tj8fUVlcJ4t6F2pAPjjAxuG9HQA+5QMkk/JBeJ2eoAlB/aqqluX1HKNjg6tFuahGr/kQ&#10;EUvfF+X8cgF1BoD5sqguM4A8Ezkf4h23GqWgwR52mS2mhw8hwlAAnSCpr7G3Uqm8T2X+SgAwZUhS&#10;cZ42RXHYDqO0rW2PoEzdG3A23ZIp8FOwnYK983LXwThZf6aEzeRhxluUVv/ne278/Oes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cV3tY1gAAAAUBAAAPAAAAAAAAAAEAIAAAACIAAABkcnMvZG93&#10;bnJldi54bWxQSwECFAAUAAAACACHTuJA2RXcPckBAACBAwAADgAAAAAAAAABACAAAAAlAQAAZHJz&#10;L2Uyb0RvYy54bWxQSwUGAAAAAAYABgBZAQAAYAUAAAAA&#10;">
                        <v:fill on="f" focussize="0,0"/>
                        <v:stroke on="f"/>
                        <v:imagedata o:title=""/>
                        <o:lock v:ext="edit" aspectratio="f"/>
                        <v:textbox inset="0mm,0mm,0mm,0mm">
                          <w:txbxContent>
                            <w:p w14:paraId="3D238512">
                              <w:pPr>
                                <w:spacing w:line="240" w:lineRule="auto"/>
                              </w:pPr>
                              <w:r>
                                <w:rPr>
                                  <w:rFonts w:hint="eastAsia"/>
                                </w:rPr>
                                <w:t>接</w:t>
                              </w:r>
                              <w:r>
                                <w:t>入</w:t>
                              </w:r>
                              <w:r>
                                <w:rPr>
                                  <w:color w:val="000000"/>
                                  <w:kern w:val="0"/>
                                  <w:lang w:bidi="ar"/>
                                </w:rPr>
                                <w:t>江阴市山泉污水处理厂</w:t>
                              </w:r>
                              <w:r>
                                <w:rPr>
                                  <w:rFonts w:hint="eastAsia"/>
                                </w:rPr>
                                <w:t>集中处理</w:t>
                              </w:r>
                            </w:p>
                          </w:txbxContent>
                        </v:textbox>
                      </v:shape>
                      <v:shape id="文本框 111" o:spid="_x0000_s1026" o:spt="202" type="#_x0000_t202" style="position:absolute;left:2880995;top:346710;height:215900;width:279400;" filled="f" stroked="f" coordsize="21600,21600" o:gfxdata="UEsDBAoAAAAAAIdO4kAAAAAAAAAAAAAAAAAEAAAAZHJzL1BLAwQUAAAACACHTuJAXFd7WNYAAAAF&#10;AQAADwAAAGRycy9kb3ducmV2LnhtbE2PS0/DMBCE70j9D9ZW4kbtBNRHGqeqEJyQEGk4cHTibWI1&#10;XofYffDvMVzay0qjGc18m28utmcnHL1xJCGZCWBIjdOGWgmf1evDEpgPirTqHaGEH/SwKSZ3ucq0&#10;O1OJp11oWSwhnykJXQhDxrlvOrTKz9yAFL29G60KUY4t16M6x3Lb81SIObfKUFzo1IDPHTaH3dFK&#10;2H5R+WK+3+uPcl+aqloJepsfpLyfJmINLOAlXMPwhx/RoYhMtTuS9qyXEB8J/zd6y8ckBVZLSBer&#10;J+BFzm/pi19QSwMEFAAAAAgAh07iQPAH8OzHAQAAgAMAAA4AAABkcnMvZTJvRG9jLnhtbK1TS27b&#10;MBDdF+gdCO5rSq6T2ILlAIGRokDRFkhzAJoiLQL8gaQt+QLtDbrqpvuey+fokJKSNN1kkQ31ODN4&#10;M+8Ntb7utUJH7oO0psblrMCIG2YbafY1vv92+26JUYjUNFRZw2t84gFfb96+WXeu4nPbWtVwj4DE&#10;hKpzNW5jdBUhgbVc0zCzjhtICus1jXD1e9J42gG7VmReFJeks75x3jIeAkS3QxKPjP4lhFYIyfjW&#10;soPmJg6snisaQVJopQt4k6cVgrP4RYjAI1I1BqUxn9AE8C6dZLOm1d5T10o2jkBfMsIzTZpKA00f&#10;qLY0UnTw8j8qLZm3wYo4Y1aTQUh2BFSUxTNv7lrqeNYCVgf3YHp4PVr2+fjVI9nAS1jA4g3VsPLz&#10;zx/nX3/Ov7+jsiyTRZ0LFVTeOaiN/Y3toXyKBwgm5b3wOn1BE4L8fLksVqsLjE41fr+4vCpHr3kf&#10;EUv5q9WigC0wyM/LixVgaEQeeZwP8QO3GiVQYw+rzA7T46cQh9KpJLU19lYqldepzD8B4EwRkkQM&#10;wyYU+10/KtvZ5gTC1EcDxqZHMgE/gd0EDs7LfQvjZPmZEhaT5x4fUdr803tu/PjjbP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XFd7WNYAAAAFAQAADwAAAAAAAAABACAAAAAiAAAAZHJzL2Rvd25y&#10;ZXYueG1sUEsBAhQAFAAAAAgAh07iQPAH8OzHAQAAgAMAAA4AAAAAAAAAAQAgAAAAJQEAAGRycy9l&#10;Mm9Eb2MueG1sUEsFBgAAAAAGAAYAWQEAAF4FAAAAAA==&#10;">
                        <v:fill on="f" focussize="0,0"/>
                        <v:stroke on="f"/>
                        <v:imagedata o:title=""/>
                        <o:lock v:ext="edit" aspectratio="f"/>
                        <v:textbox inset="0mm,0mm,0mm,0mm">
                          <w:txbxContent>
                            <w:p w14:paraId="30BDC505">
                              <w:r>
                                <w:t>120</w:t>
                              </w:r>
                            </w:p>
                          </w:txbxContent>
                        </v:textbox>
                      </v:shape>
                      <v:shape id="文本框 112" o:spid="_x0000_s1026" o:spt="202" type="#_x0000_t202" style="position:absolute;left:3872230;top:339090;height:215900;width:279400;" filled="f" stroked="f" coordsize="21600,21600" o:gfxdata="UEsDBAoAAAAAAIdO4kAAAAAAAAAAAAAAAAAEAAAAZHJzL1BLAwQUAAAACACHTuJAXFd7WNYAAAAF&#10;AQAADwAAAGRycy9kb3ducmV2LnhtbE2PS0/DMBCE70j9D9ZW4kbtBNRHGqeqEJyQEGk4cHTibWI1&#10;XofYffDvMVzay0qjGc18m28utmcnHL1xJCGZCWBIjdOGWgmf1evDEpgPirTqHaGEH/SwKSZ3ucq0&#10;O1OJp11oWSwhnykJXQhDxrlvOrTKz9yAFL29G60KUY4t16M6x3Lb81SIObfKUFzo1IDPHTaH3dFK&#10;2H5R+WK+3+uPcl+aqloJepsfpLyfJmINLOAlXMPwhx/RoYhMtTuS9qyXEB8J/zd6y8ckBVZLSBer&#10;J+BFzm/pi19QSwMEFAAAAAgAh07iQOdFiq/FAQAAgAMAAA4AAABkcnMvZTJvRG9jLnhtbK1TS27b&#10;MBDdF8gdCO5rfZw2kWA5QGEkKFC0BZIcgKZIiwB/IGlLvkB7g6666b7n8jkypKT8usmiG+pxZvBm&#10;3htqdTUoiQ7MeWF0g4tFjhHT1LRC7xp8f3f9/hIjH4huiTSaNfjIPL5an71b9bZmpemMbJlDQKJ9&#10;3dsGdyHYOss87ZgifmEs05DkxikS4Op2WetID+xKZmWef8x641rrDGXeQ3QzJvHE6N5CaDgXlG0M&#10;3Sumw8jqmCQBJPlOWI/XaVrOGQ3fOPcsINlgUBrSCU0Ab+OZrVek3jliO0GnEchbRnilSRGhoekj&#10;1YYEgvZO/EOlBHXGGx4W1KhsFJIcARVF/sqb245YlrSA1d4+mu7/Hy39evjukGjhJZxXGGmiYOWn&#10;Xz9Pv/+e/vxARVFGi3rra6i8tVAbhk9mgPI57iEYlQ/cqfgFTQjyy8uLslyCzUfAyyqvJq/ZEBCF&#10;fHlRneeQppAviw8VYGiUPfFY58MNMwpF0GAHq0wOk8MXH8bSuSS21eZaSJnWKfWLAHDGSBZFjMNG&#10;FIbtMCnbmvYIwuRnDcbGRzIDN4PtDPbWiV0H4yT5iRIWk+aeHlHc/PN7avz046wf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xXe1jWAAAABQEAAA8AAAAAAAAAAQAgAAAAIgAAAGRycy9kb3ducmV2&#10;LnhtbFBLAQIUABQAAAAIAIdO4kDnRYqvxQEAAIADAAAOAAAAAAAAAAEAIAAAACUBAABkcnMvZTJv&#10;RG9jLnhtbFBLBQYAAAAABgAGAFkBAABcBQAAAAA=&#10;">
                        <v:fill on="f" focussize="0,0"/>
                        <v:stroke on="f"/>
                        <v:imagedata o:title=""/>
                        <o:lock v:ext="edit" aspectratio="f"/>
                        <v:textbox inset="0mm,0mm,0mm,0mm">
                          <w:txbxContent>
                            <w:p w14:paraId="4B4C2296">
                              <w:r>
                                <w:t>120</w:t>
                              </w:r>
                            </w:p>
                          </w:txbxContent>
                        </v:textbox>
                      </v:shape>
                      <v:line id="直接连接符 113" o:spid="_x0000_s1026" o:spt="20" style="position:absolute;left:1455420;top:1457961;height:635;width:570865;" filled="f" stroked="t" coordsize="21600,21600" o:gfxdata="UEsDBAoAAAAAAIdO4kAAAAAAAAAAAAAAAAAEAAAAZHJzL1BLAwQUAAAACACHTuJAUEXfA9cAAAAF&#10;AQAADwAAAGRycy9kb3ducmV2LnhtbE2PwU7DMBBE70j8g7VI3KiTgCANcXpAKpcWUFuEys2NlyQi&#10;Xke204a/Z+ECl5VGM5p5Wy4m24sj+tA5UpDOEhBItTMdNQped8urHESImozuHaGCLwywqM7PSl0Y&#10;d6INHrexEVxCodAK2hiHQspQt2h1mLkBib0P562OLH0jjdcnLre9zJLkVlrdES+0esCHFuvP7WgV&#10;bNbLVf62Gqfavz+mz7uX9dM+5EpdXqTJPYiIU/wLww8+o0PFTAc3kgmiV8CPxN/LXn6dZiAOCrK7&#10;+Q3IqpT/6atvUEsDBBQAAAAIAIdO4kCStP1BAgIAAO0DAAAOAAAAZHJzL2Uyb0RvYy54bWytU81u&#10;EzEQviPxDpbvZJO0m7arbHpoKBcElYAHmHi9u5b8J4+bTV6CF0DiBieO3HkbymMw9oYGipB6YA/e&#10;sefz5/k+j5eXO6PZVgZUztZ8NplyJq1wjbJdzd+9vX52zhlGsA1oZ2XN9xL55erpk+XgKzl3vdON&#10;DIxILFaDr3kfo6+KAkUvDeDEeWkp2bpgINI0dEUTYCB2o4v5dLooBhcaH5yQiLS6HpP8wBgeQ+ja&#10;Vgm5duLWSBtH1iA1RJKEvfLIV7natpUivm5blJHpmpPSmEc6hOJNGovVEqougO+VOJQAjynhgSYD&#10;ytKh91RriMBug/qLyigRHLo2ToQzxSgkO0IqZtMH3rzpwcushaxGf286/j9a8Wp7E5hqqBNK8sSC&#10;oSu/+/D1+/tPP759pPHuy2c2m50kowaPFeGv7E04zNDfhKR61waT/qSH7YjqtCxP50S3z/HZxWI2&#10;Gi13kQkClGfT80XJmSDA4qRMyeLI4gPGF9IZloKaa2WTCVDB9iXGEfoLkpa1ZUPNL8p5IgTqyJY6&#10;gULjSRXaLu9Fp1VzrbROOzB0mysd2BZSV+TvUMIfsHTIGrAfcTk1yuglNM9tw+Lek1uWnglPJRjZ&#10;cKYlvaoUUaFQRVD6iIxBge30P9DkgLZkRLJ5NDZFG9fss995nbogW3Xo2NRmv8/z7uMrXf0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EXfA9cAAAAFAQAADwAAAAAAAAABACAAAAAiAAAAZHJzL2Rv&#10;d25yZXYueG1sUEsBAhQAFAAAAAgAh07iQJK0/UECAgAA7QMAAA4AAAAAAAAAAQAgAAAAJgEAAGRy&#10;cy9lMm9Eb2MueG1sUEsFBgAAAAAGAAYAWQEAAJoFAAAAAA==&#10;">
                        <v:fill on="f" focussize="0,0"/>
                        <v:stroke color="#000000" joinstyle="round" endarrow="block"/>
                        <v:imagedata o:title=""/>
                        <o:lock v:ext="edit" aspectratio="f"/>
                      </v:line>
                      <v:shape id="文本框 114" o:spid="_x0000_s1026" o:spt="202" type="#_x0000_t202" style="position:absolute;left:2043430;top:1328420;height:181609;width:891540;" fillcolor="#FFFFFF" filled="t" stroked="t" coordsize="21600,21600" o:gfxdata="UEsDBAoAAAAAAIdO4kAAAAAAAAAAAAAAAAAEAAAAZHJzL1BLAwQUAAAACACHTuJA/mkn49UAAAAF&#10;AQAADwAAAGRycy9kb3ducmV2LnhtbE2PS0/DMBCE70j8B2uRuFEnBkEb4lQUCQnEpQ/E2Y03D4jX&#10;kb1Ny7/HcIHLSqMZzXxbLk9uEBOG2HvSkM8yEEi1tz21Gt52T1dzEJENWTN4Qg1fGGFZnZ+VprD+&#10;SBucttyKVEKxMBo65rGQMtYdOhNnfkRKXuODM5xkaKUN5pjK3SBVlt1KZ3pKC50Z8bHD+nN7cBp2&#10;0yo+bz54YV+alVSvzVq9hwetLy/y7B4E44n/wvCDn9ChSkx7fyAbxaAhPcK/N3nz61yB2GtQd4sb&#10;kFUp/9NX31BLAwQUAAAACACHTuJAjvQvsyQCAABpBAAADgAAAGRycy9lMm9Eb2MueG1srVRLrtMw&#10;FJ0jsQfLc5pP26c2avokKEVICJAeLMC1ncSSf7LdJt0A7IARE+asq+vg2mnfDwYdkEF6bJ+ee++5&#10;11ndDkqiA3deGF3jYpJjxDU1TOi2xl+/bF8tMPKBaEak0bzGR+7x7frli1VvK16azkjGHQIR7ave&#10;1rgLwVZZ5mnHFfETY7mGw8Y4RQIsXZsxR3pQVzIr8/wm641j1hnKvYfdzXiIz4ruGkHTNILyjaF7&#10;xXUYVR2XJEBJvhPW43XKtmk4DZ+axvOAZI2h0pDeEATwLr6z9YpUrSO2E/ScArkmhWc1KSI0BL2X&#10;2pBA0N6Jv6SUoM5404QJNSobC0mOQBVF/sybu45YnmoBq729N93/P1n68fDZIcFgEuYFRpooaPnp&#10;x/fTz9+nX99QUcyiRb31FTDvLHDD8NoMQL/se9iMlQ+NU/EXakJwXuaz6WwKNh+BOy0Xs/JsNh8C&#10;okBYLIv5DM5pJCyKm3wZFbMHIet8eMeNQhHU2EEvk8Xk8MGHkXqhxLjeSMG2Qsq0cO3ujXToQKDv&#10;2/Sc1Z/QpEZ9jZfzcg55EBjmBoYIoLJgiNdtivfkH/6xcJ6efwnHxDbEd2MCSSHSSKVE4C6hjhP2&#10;VjMUjhYs13DXcExGcYaR5HA1I0rMQIS8hgneSQ0Wxm6NXYkoDLsBZCLcGXaEDsr3GiYo3oYLcBew&#10;u4C9daLtwPbU5yQJE5j6c74tccQfr1Pghy/E+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aSfj&#10;1QAAAAUBAAAPAAAAAAAAAAEAIAAAACIAAABkcnMvZG93bnJldi54bWxQSwECFAAUAAAACACHTuJA&#10;jvQvsyQCAABpBAAADgAAAAAAAAABACAAAAAkAQAAZHJzL2Uyb0RvYy54bWxQSwUGAAAAAAYABgBZ&#10;AQAAugUAAAAA&#10;">
                        <v:fill on="t" focussize="0,0"/>
                        <v:stroke color="#000000" joinstyle="miter"/>
                        <v:imagedata o:title=""/>
                        <o:lock v:ext="edit" aspectratio="f"/>
                        <v:textbox inset="0mm,0mm,0mm,0mm">
                          <w:txbxContent>
                            <w:p w14:paraId="680B3BC1">
                              <w:pPr>
                                <w:widowControl/>
                                <w:snapToGrid w:val="0"/>
                                <w:jc w:val="center"/>
                              </w:pPr>
                              <w:r>
                                <w:t>喷头清洗用</w:t>
                              </w:r>
                              <w:r>
                                <w:rPr>
                                  <w:rFonts w:hint="eastAsia"/>
                                </w:rPr>
                                <w:t>水</w:t>
                              </w:r>
                            </w:p>
                          </w:txbxContent>
                        </v:textbox>
                      </v:shape>
                      <v:line id="直接连接符 115" o:spid="_x0000_s1026" o:spt="20" style="position:absolute;left:2945130;top:1457326;height:0;width:558800;" filled="f" stroked="t" coordsize="21600,21600" o:gfxdata="UEsDBAoAAAAAAIdO4kAAAAAAAAAAAAAAAAAEAAAAZHJzL1BLAwQUAAAACACHTuJAUEXfA9cAAAAF&#10;AQAADwAAAGRycy9kb3ducmV2LnhtbE2PwU7DMBBE70j8g7VI3KiTgCANcXpAKpcWUFuEys2NlyQi&#10;Xke204a/Z+ECl5VGM5p5Wy4m24sj+tA5UpDOEhBItTMdNQped8urHESImozuHaGCLwywqM7PSl0Y&#10;d6INHrexEVxCodAK2hiHQspQt2h1mLkBib0P562OLH0jjdcnLre9zJLkVlrdES+0esCHFuvP7WgV&#10;bNbLVf62Gqfavz+mz7uX9dM+5EpdXqTJPYiIU/wLww8+o0PFTAc3kgmiV8CPxN/LXn6dZiAOCrK7&#10;+Q3IqpT/6atvUEsDBBQAAAAIAIdO4kDKz+8/BQIAAOsDAAAOAAAAZHJzL2Uyb0RvYy54bWytU01u&#10;EzEU3iNxB8t7Mpm0E9JRJl00lA2CSMABXmzPjCX/yXYzySW4ABI7WLFk39tQjsGzJzRQhNQFs/A8&#10;25+/977Pz8vLvVZkJ3yQ1jS0nEwpEYZZLk3X0Pfvrp8tKAkRDAdljWjoQQR6uXr6ZDm4WsxsbxUX&#10;niCJCfXgGtrH6OqiCKwXGsLEOmFws7VeQ8Sp7wruYUB2rYrZdDovBuu585aJEHB1PW7SI6N/DKFt&#10;W8nE2rIbLUwcWb1QEFFS6KULdJWrbVvB4pu2DSIS1VBUGvOISTDeprFYLaHuPLhesmMJ8JgSHmjS&#10;IA0mvadaQwRy4+VfVFoyb4Nt44RZXYxCsiOoopw+8OZtD05kLWh1cPemh/9Hy17vNp5Ijp1QzSkx&#10;oPHK7z5++/7h84/bTzjeff1CyrJKRg0u1Ii/Mht/nAW38Un1vvU6/VEP2Td0dnFelWdo8QFpz6vn&#10;Z7P5aLTYR8IQUFWLxRT3GQLyHRQnDudDfCmsJiloqJImWQA17F6FiHkR+guSlpUhQ0MvqlmFdID9&#10;2GIfYKgdagqmy2eDVZJfS6XSieC77ZXyZAepJ/KXqkPeP2ApyRpCP+Ly1iiiF8BfGE7iwaFXBh8J&#10;TSVowSlRAt9UipAQ6ghSnZDRSzCd+gca0yuDVSSTR1tTtLX8kN3O69gDuc5jv6Ym+32eT5/e6O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UEXfA9cAAAAFAQAADwAAAAAAAAABACAAAAAiAAAAZHJz&#10;L2Rvd25yZXYueG1sUEsBAhQAFAAAAAgAh07iQMrP7z8FAgAA6wMAAA4AAAAAAAAAAQAgAAAAJgEA&#10;AGRycy9lMm9Eb2MueG1sUEsFBgAAAAAGAAYAWQEAAJ0FAAAAAA==&#10;">
                        <v:fill on="f" focussize="0,0"/>
                        <v:stroke color="#000000" joinstyle="round" endarrow="block"/>
                        <v:imagedata o:title=""/>
                        <o:lock v:ext="edit" aspectratio="f"/>
                      </v:line>
                      <v:shape id="文本框 117" o:spid="_x0000_s1026" o:spt="202" type="#_x0000_t202" style="position:absolute;left:3572510;top:1229995;height:509905;width:1101090;" filled="f" stroked="f" coordsize="21600,21600" o:gfxdata="UEsDBAoAAAAAAIdO4kAAAAAAAAAAAAAAAAAEAAAAZHJzL1BLAwQUAAAACACHTuJAXFd7WNYAAAAF&#10;AQAADwAAAGRycy9kb3ducmV2LnhtbE2PS0/DMBCE70j9D9ZW4kbtBNRHGqeqEJyQEGk4cHTibWI1&#10;XofYffDvMVzay0qjGc18m28utmcnHL1xJCGZCWBIjdOGWgmf1evDEpgPirTqHaGEH/SwKSZ3ucq0&#10;O1OJp11oWSwhnykJXQhDxrlvOrTKz9yAFL29G60KUY4t16M6x3Lb81SIObfKUFzo1IDPHTaH3dFK&#10;2H5R+WK+3+uPcl+aqloJepsfpLyfJmINLOAlXMPwhx/RoYhMtTuS9qyXEB8J/zd6y8ckBVZLSBer&#10;J+BFzm/pi19QSwMEFAAAAAgAh07iQFcRG7PHAQAAggMAAA4AAABkcnMvZTJvRG9jLnhtbK1TS27b&#10;MBDdF8gdCO5rSiqcVILlAIGRoEDRFkh6AJoiLQL8gaQt+QLtDbrqpvuey+fokLKSNt1kkQ01nHl4&#10;M+8NtboetUIH7oO0psXlosCIG2Y7aXYt/vpw+/Y9RiFS01FlDW/xkQd8vb54sxpcwyvbW9Vxj4DE&#10;hGZwLe5jdA0hgfVc07CwjhsoCus1jXD1O9J5OgC7VqQqiksyWN85bxkPAbKbqYjPjP4lhFYIyfjG&#10;sr3mJk6snisaQVLopQt4nacVgrP4WYjAI1ItBqUxn9AE4m06yXpFm52nrpfsPAJ9yQjPNGkqDTR9&#10;pNrQSNHey/+otGTeBivigllNJiHZEVBRFs+8ue+p41kLWB3co+nh9WjZp8MXj2QHL+GyxMhQDSs/&#10;/fh++vn79OsbKsurZNHgQgPIewfYON7YEeBzPkAyKR+F1+kLmhDU3y2vqmUJNh8BW1V1XS8ns/kY&#10;EUsEJQiuAcAAsSzqusgA8sTkfIh33GqUghZ7WGb2mB4+hghTAXSGpMbG3kql8kKV+ScBwJQhScY0&#10;boriuB3P2ra2O4I09cGAtemZzIGfg+0c7J2Xux7GyQZkSlhNHub8jNLu/77nxk+/zv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XFd7WNYAAAAFAQAADwAAAAAAAAABACAAAAAiAAAAZHJzL2Rvd25y&#10;ZXYueG1sUEsBAhQAFAAAAAgAh07iQFcRG7PHAQAAggMAAA4AAAAAAAAAAQAgAAAAJQEAAGRycy9l&#10;Mm9Eb2MueG1sUEsFBgAAAAAGAAYAWQEAAF4FAAAAAA==&#10;">
                        <v:fill on="f" focussize="0,0"/>
                        <v:stroke on="f"/>
                        <v:imagedata o:title=""/>
                        <o:lock v:ext="edit" aspectratio="f"/>
                        <v:textbox inset="0mm,0mm,0mm,0mm">
                          <w:txbxContent>
                            <w:p w14:paraId="30EA590D">
                              <w:pPr>
                                <w:spacing w:line="240" w:lineRule="auto"/>
                              </w:pPr>
                              <w:r>
                                <w:rPr>
                                  <w:rFonts w:hint="eastAsia"/>
                                  <w:color w:val="auto"/>
                                  <w:lang w:val="en-US" w:eastAsia="zh-CN"/>
                                </w:rPr>
                                <w:t>清洗废液</w:t>
                              </w:r>
                              <w:r>
                                <w:rPr>
                                  <w:color w:val="auto"/>
                                </w:rPr>
                                <w:t>作为危</w:t>
                              </w:r>
                              <w:r>
                                <w:t>废处置</w:t>
                              </w:r>
                            </w:p>
                          </w:txbxContent>
                        </v:textbox>
                      </v:shape>
                      <v:shape id="文本框 124" o:spid="_x0000_s1026" o:spt="202" type="#_x0000_t202" style="position:absolute;left:3075940;top:1223010;height:215900;width:342900;" filled="f" stroked="f" coordsize="21600,21600" o:gfxdata="UEsDBAoAAAAAAIdO4kAAAAAAAAAAAAAAAAAEAAAAZHJzL1BLAwQUAAAACACHTuJAXFd7WNYAAAAF&#10;AQAADwAAAGRycy9kb3ducmV2LnhtbE2PS0/DMBCE70j9D9ZW4kbtBNRHGqeqEJyQEGk4cHTibWI1&#10;XofYffDvMVzay0qjGc18m28utmcnHL1xJCGZCWBIjdOGWgmf1evDEpgPirTqHaGEH/SwKSZ3ucq0&#10;O1OJp11oWSwhnykJXQhDxrlvOrTKz9yAFL29G60KUY4t16M6x3Lb81SIObfKUFzo1IDPHTaH3dFK&#10;2H5R+WK+3+uPcl+aqloJepsfpLyfJmINLOAlXMPwhx/RoYhMtTuS9qyXEB8J/zd6y8ckBVZLSBer&#10;J+BFzm/pi19QSwMEFAAAAAgAh07iQL3ec23FAQAAgQMAAA4AAABkcnMvZTJvRG9jLnhtbK1TS27b&#10;MBDdF+gdCO5ryrLTNILlAIWRokDRFkh7AJqiLAL8YUhb8gXaG3TVTfc9l8+RIWUlTbLJohtqOPPw&#10;Zt4banU9GE0OEoJytqbzWUGJtMI1yu5q+v3bzZt3lITIbcO1s7KmRxno9fr1q1XvK1m6zulGAkES&#10;G6re17SL0VeMBdFJw8PMeWmx2DowPOIVdqwB3iO70awsiresd9B4cEKGgNnNWKRnRngJoWtbJeTG&#10;ib2RNo6sIDWPKCl0yge6ztO2rRTxS9sGGYmuKSqN+cQmGG/TydYrXu2A+06J8wj8JSM80WS4stj0&#10;nmrDIyd7UM+ojBLggmvjTDjDRiHZEVQxL554c9txL7MWtDr4e9PD/6MVnw9fgagGX8LlghLLDa78&#10;9Ovn6fff058fZF4uk0W9DxUibz1i4/DeDQif8gGTSfnQgklf1ESwviguL66WaPMRsWW5QHWj2XKI&#10;RCTAsrwqsC4QUM4vUoyd2AORhxA/SGdICmoKuMtsMT98CnGETpDU17obpXXep7aPEsiZMiypGKdN&#10;URy2w1na1jVHVKY/WnQ2vZIpgCnYTsHeg9p1OE7WnylxM3nu8ytKq//3nhs//DnrO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xXe1jWAAAABQEAAA8AAAAAAAAAAQAgAAAAIgAAAGRycy9kb3ducmV2&#10;LnhtbFBLAQIUABQAAAAIAIdO4kC93nNtxQEAAIEDAAAOAAAAAAAAAAEAIAAAACUBAABkcnMvZTJv&#10;RG9jLnhtbFBLBQYAAAAABgAGAFkBAABcBQAAAAA=&#10;">
                        <v:fill on="f" focussize="0,0"/>
                        <v:stroke on="f"/>
                        <v:imagedata o:title=""/>
                        <o:lock v:ext="edit" aspectratio="f"/>
                        <v:textbox inset="0mm,0mm,0mm,0mm">
                          <w:txbxContent>
                            <w:p w14:paraId="00038646">
                              <w:r>
                                <w:t>0.75</w:t>
                              </w:r>
                            </w:p>
                          </w:txbxContent>
                        </v:textbox>
                      </v:shape>
                      <v:shape id="文本框 131" o:spid="_x0000_s1026" o:spt="202" type="#_x0000_t202" style="position:absolute;left:723265;top:735330;height:215900;width:579120;" filled="f" stroked="f" coordsize="21600,21600" o:gfxdata="UEsDBAoAAAAAAIdO4kAAAAAAAAAAAAAAAAAEAAAAZHJzL1BLAwQUAAAACACHTuJAXFd7WNYAAAAF&#10;AQAADwAAAGRycy9kb3ducmV2LnhtbE2PS0/DMBCE70j9D9ZW4kbtBNRHGqeqEJyQEGk4cHTibWI1&#10;XofYffDvMVzay0qjGc18m28utmcnHL1xJCGZCWBIjdOGWgmf1evDEpgPirTqHaGEH/SwKSZ3ucq0&#10;O1OJp11oWSwhnykJXQhDxrlvOrTKz9yAFL29G60KUY4t16M6x3Lb81SIObfKUFzo1IDPHTaH3dFK&#10;2H5R+WK+3+uPcl+aqloJepsfpLyfJmINLOAlXMPwhx/RoYhMtTuS9qyXEB8J/zd6y8ckBVZLSBer&#10;J+BFzm/pi19QSwMEFAAAAAgAh07iQFIvDP3FAQAAfwMAAA4AAABkcnMvZTJvRG9jLnhtbK1TS44T&#10;MRDdI3EHy3vi/igT0kpnJBQNQkKANHAAx22nLfkn20l3LgA3YMWGPefKOSg73TMwbGbBxv1cVXpV&#10;75V7cztqhU7cB2lNi8tFgRE3zHbSHFr85fPdq9cYhUhNR5U1vMVnHvDt9uWLzeAaXtneqo57BCQm&#10;NINrcR+jawgJrOeahoV13EBSWK9phKs/kM7TAdi1IlVR3JDB+s55y3gIEN1dk3hi9M8htEJIxneW&#10;HTU38crquaIRJIVeuoC3eVohOIsfhQg8ItViUBrzCU0A79NJthvaHDx1vWTTCPQ5IzzRpKk00PSB&#10;akcjRUcv/6HSknkbrIgLZjW5CsmOgIqyeOLNfU8dz1rA6uAeTA//j5Z9OH3ySHbwElZrjAzVsPLL&#10;92+XH78uP7+isi6TRYMLDVTeO6iN4xs7QvkcDxBMykfhdfqCJgT5VVVXN0uMzgDrZV1PVvMxIgbp&#10;5WpdVrAEBvmqXK6LnCePNM6H+JZbjRJosYdNZoPp6X2IMBKUziWpq7F3Uqm8TWX+CkBhipCk4Tpr&#10;QnHcj5Owve3OoEu9M+BreiMz8DPYz+DovDz0ME5WnylhL3mY6Q2lxf95z40f/5vt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xXe1jWAAAABQEAAA8AAAAAAAAAAQAgAAAAIgAAAGRycy9kb3ducmV2&#10;LnhtbFBLAQIUABQAAAAIAIdO4kBSLwz9xQEAAH8DAAAOAAAAAAAAAAEAIAAAACUBAABkcnMvZTJv&#10;RG9jLnhtbFBLBQYAAAAABgAGAFkBAABcBQAAAAA=&#10;">
                        <v:fill on="f" focussize="0,0"/>
                        <v:stroke on="f"/>
                        <v:imagedata o:title=""/>
                        <o:lock v:ext="edit" aspectratio="f"/>
                        <v:textbox inset="0mm,0mm,0mm,0mm">
                          <w:txbxContent>
                            <w:p w14:paraId="782CB836">
                              <w:r>
                                <w:rPr>
                                  <w:rFonts w:hint="eastAsia"/>
                                  <w:lang w:val="en-US" w:eastAsia="zh-CN"/>
                                </w:rPr>
                                <w:t>150</w:t>
                              </w:r>
                              <w:r>
                                <w:rPr>
                                  <w:rFonts w:hint="eastAsia"/>
                                </w:rPr>
                                <w:t>.75</w:t>
                              </w:r>
                            </w:p>
                          </w:txbxContent>
                        </v:textbox>
                      </v:shape>
                      <v:shape id="文本框 124" o:spid="_x0000_s1026" o:spt="202" type="#_x0000_t202" style="position:absolute;left:1578610;top:1229995;height:215900;width:342900;" filled="f" stroked="f" coordsize="21600,21600" o:gfxdata="UEsDBAoAAAAAAIdO4kAAAAAAAAAAAAAAAAAEAAAAZHJzL1BLAwQUAAAACACHTuJAXFd7WNYAAAAF&#10;AQAADwAAAGRycy9kb3ducmV2LnhtbE2PS0/DMBCE70j9D9ZW4kbtBNRHGqeqEJyQEGk4cHTibWI1&#10;XofYffDvMVzay0qjGc18m28utmcnHL1xJCGZCWBIjdOGWgmf1evDEpgPirTqHaGEH/SwKSZ3ucq0&#10;O1OJp11oWSwhnykJXQhDxrlvOrTKz9yAFL29G60KUY4t16M6x3Lb81SIObfKUFzo1IDPHTaH3dFK&#10;2H5R+WK+3+uPcl+aqloJepsfpLyfJmINLOAlXMPwhx/RoYhMtTuS9qyXEB8J/zd6y8ckBVZLSBer&#10;J+BFzm/pi19QSwMEFAAAAAgAh07iQMGmBTjEAQAAgAMAAA4AAABkcnMvZTJvRG9jLnhtbK1TS27b&#10;MBDdF8gdCO5jSmqcxoLlAIWRIEDRFkh7AJoiLQL8gaQt+QLtDbrqpvuey+fIkLLy6yaLbqjhzMOb&#10;eW+o5fWgFdpzH6Q1DS5nBUbcMNtKs23w928351cYhUhNS5U1vMEHHvD16uzdsnc1r2xnVcs9AhIT&#10;6t41uIvR1YQE1nFNw8w6bqAorNc0wtVvSetpD+xakaooLklvfeu8ZTwEyK7HIj4x+rcQWiEk42vL&#10;dpqbOLJ6rmgESaGTLuBVnlYIzuIXIQKPSDUYlMZ8QhOIN+kkqyWtt566TrLTCPQtI7zSpKk00PSR&#10;ak0jRTsv/6HSknkbrIgzZjUZhWRHQEVZvPLmvqOOZy1gdXCPpof/R8s+7796JFt4CRVGhmrY+PHX&#10;z+Pvv8c/P1BZXSSHehdqAN47gMbhox0APeUDJJPwQXidviAJpfr8w9VlCS4fEnO1WCzmo9d8iIgB&#10;4P1FtSigzgBQlfMUQyfyROR8iLfcapSCBntYZXaY7j+FOEInSOpr7I1UKq9TmRcJ4EwZklSM06Yo&#10;DpvhJG1j2wMoU3cGjE2PZAr8FGymYOe83HYwTtafKWExee7TI0qbf37PjZ9+nNU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XFd7WNYAAAAFAQAADwAAAAAAAAABACAAAAAiAAAAZHJzL2Rvd25yZXYu&#10;eG1sUEsBAhQAFAAAAAgAh07iQMGmBTjEAQAAgAMAAA4AAAAAAAAAAQAgAAAAJQEAAGRycy9lMm9E&#10;b2MueG1sUEsFBgAAAAAGAAYAWQEAAFsFAAAAAA==&#10;">
                        <v:fill on="f" focussize="0,0"/>
                        <v:stroke on="f"/>
                        <v:imagedata o:title=""/>
                        <o:lock v:ext="edit" aspectratio="f"/>
                        <v:textbox inset="0mm,0mm,0mm,0mm">
                          <w:txbxContent>
                            <w:p w14:paraId="4DF9BF1C">
                              <w:r>
                                <w:t>0.75</w:t>
                              </w:r>
                            </w:p>
                          </w:txbxContent>
                        </v:textbox>
                      </v:shape>
                      <w10:wrap type="none"/>
                      <w10:anchorlock/>
                    </v:group>
                  </w:pict>
                </mc:Fallback>
              </mc:AlternateContent>
            </w:r>
          </w:p>
          <w:p w14:paraId="4AB72982">
            <w:pPr>
              <w:spacing w:line="300" w:lineRule="exact"/>
              <w:jc w:val="center"/>
              <w:rPr>
                <w:b/>
                <w:bCs/>
                <w:color w:val="auto"/>
                <w:sz w:val="24"/>
                <w:szCs w:val="24"/>
              </w:rPr>
            </w:pPr>
            <w:r>
              <w:rPr>
                <w:b/>
                <w:bCs/>
                <w:color w:val="auto"/>
                <w:sz w:val="24"/>
              </w:rPr>
              <w:t>图</w:t>
            </w:r>
            <w:r>
              <w:rPr>
                <w:rFonts w:hint="eastAsia"/>
                <w:b/>
                <w:bCs/>
                <w:color w:val="auto"/>
                <w:sz w:val="24"/>
              </w:rPr>
              <w:t>2-1</w:t>
            </w:r>
            <w:r>
              <w:rPr>
                <w:b/>
                <w:bCs/>
                <w:color w:val="auto"/>
                <w:sz w:val="24"/>
              </w:rPr>
              <w:t xml:space="preserve">  </w:t>
            </w:r>
            <w:r>
              <w:rPr>
                <w:b/>
                <w:bCs/>
                <w:color w:val="auto"/>
                <w:sz w:val="24"/>
                <w:szCs w:val="24"/>
              </w:rPr>
              <w:t xml:space="preserve">本项目水平衡图  </w:t>
            </w:r>
            <w:r>
              <w:rPr>
                <w:b/>
                <w:color w:val="auto"/>
                <w:sz w:val="24"/>
              </w:rPr>
              <w:t>单位：</w:t>
            </w:r>
            <w:r>
              <w:rPr>
                <w:b/>
                <w:bCs/>
                <w:color w:val="auto"/>
                <w:sz w:val="24"/>
                <w:szCs w:val="24"/>
              </w:rPr>
              <w:t>t/a</w:t>
            </w:r>
          </w:p>
          <w:p w14:paraId="4B8689F3">
            <w:pPr>
              <w:spacing w:line="300" w:lineRule="exact"/>
              <w:jc w:val="both"/>
              <w:rPr>
                <w:b/>
                <w:bCs/>
                <w:color w:val="auto"/>
                <w:sz w:val="24"/>
                <w:szCs w:val="24"/>
              </w:rPr>
            </w:pPr>
          </w:p>
        </w:tc>
      </w:tr>
      <w:tr w14:paraId="2EA653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738" w:type="dxa"/>
            <w:vAlign w:val="center"/>
          </w:tcPr>
          <w:p w14:paraId="72A6D5FA">
            <w:pPr>
              <w:pStyle w:val="21"/>
              <w:adjustRightInd w:val="0"/>
              <w:snapToGrid w:val="0"/>
              <w:spacing w:before="0" w:beforeAutospacing="0" w:after="0" w:afterAutospacing="0"/>
              <w:jc w:val="center"/>
              <w:rPr>
                <w:rFonts w:ascii="Times New Roman" w:hAnsi="Times New Roman"/>
                <w:color w:val="auto"/>
                <w:sz w:val="21"/>
                <w:szCs w:val="21"/>
              </w:rPr>
            </w:pPr>
            <w:r>
              <w:rPr>
                <w:rFonts w:ascii="Times New Roman" w:hAnsi="Times New Roman"/>
                <w:bCs/>
                <w:color w:val="auto"/>
                <w:szCs w:val="24"/>
              </w:rPr>
              <w:t>与项目有关的环境污染问题</w:t>
            </w:r>
          </w:p>
        </w:tc>
        <w:tc>
          <w:tcPr>
            <w:tcW w:w="8475" w:type="dxa"/>
          </w:tcPr>
          <w:p w14:paraId="056BD0AF">
            <w:pPr>
              <w:adjustRightInd w:val="0"/>
              <w:snapToGrid w:val="0"/>
              <w:ind w:firstLine="480" w:firstLineChars="200"/>
              <w:rPr>
                <w:rFonts w:hint="eastAsia" w:eastAsia="宋体"/>
                <w:color w:val="auto"/>
                <w:sz w:val="24"/>
                <w:szCs w:val="24"/>
                <w:lang w:val="en-US" w:eastAsia="zh-CN"/>
              </w:rPr>
            </w:pPr>
            <w:r>
              <w:rPr>
                <w:color w:val="auto"/>
                <w:sz w:val="24"/>
                <w:szCs w:val="24"/>
              </w:rPr>
              <w:t>江阴市万超国际贸易有限公司拟租赁江阴龙利达人造革有限公司位于江阴市周庄镇澄杨路1507号600平方米闲置厂房从事基布的数码热转移印花生产。据调查，</w:t>
            </w:r>
            <w:r>
              <w:rPr>
                <w:bCs/>
                <w:color w:val="auto"/>
                <w:sz w:val="24"/>
                <w:szCs w:val="24"/>
              </w:rPr>
              <w:t>江阴龙利达人造革有限公司现从事塑料人造革（2925）制造，</w:t>
            </w:r>
            <w:r>
              <w:rPr>
                <w:color w:val="auto"/>
                <w:sz w:val="24"/>
                <w:szCs w:val="24"/>
              </w:rPr>
              <w:t>该租赁厂房原作为</w:t>
            </w:r>
            <w:r>
              <w:rPr>
                <w:rFonts w:hint="eastAsia"/>
                <w:color w:val="auto"/>
                <w:sz w:val="24"/>
                <w:szCs w:val="24"/>
              </w:rPr>
              <w:t>成品区</w:t>
            </w:r>
            <w:r>
              <w:rPr>
                <w:color w:val="auto"/>
                <w:sz w:val="24"/>
                <w:szCs w:val="24"/>
              </w:rPr>
              <w:t>，由于市场经济等原因该厂房暂闲置，现租赁给江阴市万超国际贸易有限公司用于基布的数码热转移印花生产。现有厂房不涉及“化工、农药、石化、医药、金属冶炼、铅蓄电池、皮革、金属表面处理、生产储存使用危险化学品、贮存利用处置危险废物及其他可能造成场地污染的工业企业”，项目厂房内水泥地面平整完好，雨污水管网均已建设完成，无与本项目相关的原有污染情况及主要环境问题，可满足本项目开发利用要求</w:t>
            </w:r>
            <w:r>
              <w:rPr>
                <w:rFonts w:hint="eastAsia"/>
                <w:color w:val="auto"/>
                <w:sz w:val="24"/>
                <w:szCs w:val="24"/>
                <w:lang w:eastAsia="zh-CN"/>
              </w:rPr>
              <w:t>。</w:t>
            </w:r>
          </w:p>
          <w:p w14:paraId="14317C9A">
            <w:pPr>
              <w:pStyle w:val="2"/>
              <w:spacing w:before="0" w:after="0" w:line="360" w:lineRule="auto"/>
              <w:ind w:right="0" w:firstLine="480" w:firstLineChars="200"/>
              <w:rPr>
                <w:color w:val="auto"/>
                <w:kern w:val="2"/>
                <w:sz w:val="24"/>
                <w:szCs w:val="24"/>
              </w:rPr>
            </w:pPr>
            <w:r>
              <w:rPr>
                <w:color w:val="auto"/>
                <w:kern w:val="2"/>
                <w:sz w:val="24"/>
                <w:szCs w:val="24"/>
              </w:rPr>
              <w:t>且根据实地调查，项目建设地供水、供电设施均已完善，污水管网已接通，本项目生活污水经化粪池预处理后接入江阴市山泉污水处理厂集中处理。</w:t>
            </w:r>
          </w:p>
          <w:p w14:paraId="4985EE2C">
            <w:pPr>
              <w:pStyle w:val="25"/>
              <w:rPr>
                <w:rFonts w:hint="default" w:ascii="Times New Roman" w:hAnsi="Times New Roman"/>
                <w:color w:val="auto"/>
              </w:rPr>
            </w:pPr>
          </w:p>
          <w:p w14:paraId="320ED9BD">
            <w:pPr>
              <w:pStyle w:val="34"/>
              <w:rPr>
                <w:rFonts w:hint="default" w:ascii="Times New Roman" w:hAnsi="Times New Roman"/>
                <w:color w:val="auto"/>
              </w:rPr>
            </w:pPr>
          </w:p>
          <w:p w14:paraId="7EC3F3A2">
            <w:pPr>
              <w:pStyle w:val="34"/>
              <w:rPr>
                <w:rFonts w:hint="default" w:ascii="Times New Roman" w:hAnsi="Times New Roman"/>
                <w:color w:val="auto"/>
              </w:rPr>
            </w:pPr>
          </w:p>
          <w:p w14:paraId="3E669519">
            <w:pPr>
              <w:pStyle w:val="2"/>
              <w:rPr>
                <w:color w:val="auto"/>
              </w:rPr>
            </w:pPr>
          </w:p>
          <w:p w14:paraId="0072B4AE">
            <w:pPr>
              <w:rPr>
                <w:color w:val="auto"/>
              </w:rPr>
            </w:pPr>
          </w:p>
          <w:p w14:paraId="4B8A2D75">
            <w:pPr>
              <w:pStyle w:val="2"/>
              <w:rPr>
                <w:color w:val="auto"/>
              </w:rPr>
            </w:pPr>
          </w:p>
          <w:p w14:paraId="0EFECED4">
            <w:pPr>
              <w:rPr>
                <w:color w:val="auto"/>
              </w:rPr>
            </w:pPr>
          </w:p>
          <w:p w14:paraId="60515A7A">
            <w:pPr>
              <w:pStyle w:val="2"/>
              <w:rPr>
                <w:color w:val="auto"/>
              </w:rPr>
            </w:pPr>
          </w:p>
          <w:p w14:paraId="2C08F4C1">
            <w:pPr>
              <w:rPr>
                <w:color w:val="auto"/>
              </w:rPr>
            </w:pPr>
          </w:p>
          <w:p w14:paraId="6EA2624F">
            <w:pPr>
              <w:pStyle w:val="2"/>
              <w:rPr>
                <w:color w:val="auto"/>
              </w:rPr>
            </w:pPr>
          </w:p>
          <w:p w14:paraId="66A25480">
            <w:pPr>
              <w:rPr>
                <w:color w:val="auto"/>
              </w:rPr>
            </w:pPr>
          </w:p>
          <w:p w14:paraId="7C90B09A">
            <w:pPr>
              <w:pStyle w:val="2"/>
              <w:rPr>
                <w:color w:val="auto"/>
              </w:rPr>
            </w:pPr>
          </w:p>
          <w:p w14:paraId="55D3F8AF">
            <w:pPr>
              <w:pStyle w:val="3"/>
              <w:numPr>
                <w:ilvl w:val="0"/>
                <w:numId w:val="0"/>
              </w:numPr>
              <w:rPr>
                <w:color w:val="auto"/>
              </w:rPr>
            </w:pPr>
          </w:p>
          <w:p w14:paraId="3FF82B6A">
            <w:pPr>
              <w:pStyle w:val="2"/>
              <w:rPr>
                <w:color w:val="auto"/>
              </w:rPr>
            </w:pPr>
          </w:p>
        </w:tc>
      </w:tr>
    </w:tbl>
    <w:p w14:paraId="3DD1E51A">
      <w:pPr>
        <w:pStyle w:val="13"/>
        <w:spacing w:after="0"/>
        <w:ind w:left="0" w:leftChars="0" w:right="0" w:rightChars="0"/>
        <w:rPr>
          <w:color w:val="auto"/>
        </w:rPr>
      </w:pPr>
      <w:r>
        <w:rPr>
          <w:color w:val="auto"/>
        </w:rPr>
        <w:br w:type="page"/>
      </w:r>
    </w:p>
    <w:p w14:paraId="384EE4AC">
      <w:pPr>
        <w:pStyle w:val="21"/>
        <w:spacing w:line="240" w:lineRule="auto"/>
        <w:jc w:val="center"/>
        <w:outlineLvl w:val="0"/>
        <w:rPr>
          <w:rFonts w:asciiTheme="minorEastAsia" w:hAnsiTheme="minorEastAsia" w:eastAsiaTheme="minorEastAsia" w:cstheme="minorEastAsia"/>
          <w:b/>
          <w:bCs/>
          <w:snapToGrid w:val="0"/>
          <w:color w:val="auto"/>
          <w:kern w:val="0"/>
          <w:sz w:val="30"/>
          <w:szCs w:val="30"/>
        </w:rPr>
      </w:pPr>
      <w:r>
        <w:rPr>
          <w:rFonts w:hint="eastAsia" w:asciiTheme="minorEastAsia" w:hAnsiTheme="minorEastAsia" w:eastAsiaTheme="minorEastAsia" w:cstheme="minorEastAsia"/>
          <w:b/>
          <w:bCs/>
          <w:snapToGrid w:val="0"/>
          <w:color w:val="auto"/>
          <w:kern w:val="0"/>
          <w:sz w:val="30"/>
          <w:szCs w:val="30"/>
        </w:rPr>
        <w:t>三、区域环境质量现状、环境保护目标及评价标准</w:t>
      </w:r>
    </w:p>
    <w:tbl>
      <w:tblPr>
        <w:tblStyle w:val="26"/>
        <w:tblW w:w="88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8130"/>
      </w:tblGrid>
      <w:tr w14:paraId="28B10B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45" w:hRule="atLeast"/>
          <w:jc w:val="center"/>
        </w:trPr>
        <w:tc>
          <w:tcPr>
            <w:tcW w:w="716" w:type="dxa"/>
            <w:vAlign w:val="center"/>
          </w:tcPr>
          <w:p w14:paraId="45A7663D">
            <w:pPr>
              <w:adjustRightInd w:val="0"/>
              <w:snapToGrid w:val="0"/>
              <w:jc w:val="center"/>
              <w:rPr>
                <w:color w:val="auto"/>
                <w:kern w:val="0"/>
              </w:rPr>
            </w:pPr>
            <w:r>
              <w:rPr>
                <w:color w:val="auto"/>
                <w:kern w:val="0"/>
              </w:rPr>
              <w:t>区域</w:t>
            </w:r>
          </w:p>
          <w:p w14:paraId="4209FE23">
            <w:pPr>
              <w:adjustRightInd w:val="0"/>
              <w:snapToGrid w:val="0"/>
              <w:jc w:val="center"/>
              <w:rPr>
                <w:color w:val="auto"/>
                <w:kern w:val="0"/>
              </w:rPr>
            </w:pPr>
            <w:r>
              <w:rPr>
                <w:color w:val="auto"/>
                <w:kern w:val="0"/>
              </w:rPr>
              <w:t>环境</w:t>
            </w:r>
          </w:p>
          <w:p w14:paraId="1467659A">
            <w:pPr>
              <w:adjustRightInd w:val="0"/>
              <w:snapToGrid w:val="0"/>
              <w:jc w:val="center"/>
              <w:rPr>
                <w:color w:val="auto"/>
                <w:kern w:val="0"/>
              </w:rPr>
            </w:pPr>
            <w:r>
              <w:rPr>
                <w:color w:val="auto"/>
                <w:kern w:val="0"/>
              </w:rPr>
              <w:t>质量</w:t>
            </w:r>
          </w:p>
          <w:p w14:paraId="5DB1731A">
            <w:pPr>
              <w:adjustRightInd w:val="0"/>
              <w:snapToGrid w:val="0"/>
              <w:jc w:val="center"/>
              <w:rPr>
                <w:color w:val="auto"/>
                <w:kern w:val="0"/>
              </w:rPr>
            </w:pPr>
            <w:r>
              <w:rPr>
                <w:color w:val="auto"/>
                <w:kern w:val="0"/>
              </w:rPr>
              <w:t>现状</w:t>
            </w:r>
          </w:p>
        </w:tc>
        <w:tc>
          <w:tcPr>
            <w:tcW w:w="8130" w:type="dxa"/>
            <w:vAlign w:val="center"/>
          </w:tcPr>
          <w:p w14:paraId="7B998216">
            <w:pPr>
              <w:widowControl/>
              <w:snapToGrid w:val="0"/>
              <w:rPr>
                <w:b/>
                <w:color w:val="auto"/>
                <w:sz w:val="24"/>
                <w:szCs w:val="24"/>
              </w:rPr>
            </w:pPr>
            <w:r>
              <w:rPr>
                <w:b/>
                <w:color w:val="auto"/>
                <w:sz w:val="24"/>
                <w:szCs w:val="24"/>
              </w:rPr>
              <w:t>1、大气环境</w:t>
            </w:r>
          </w:p>
          <w:p w14:paraId="4B20776F">
            <w:pPr>
              <w:autoSpaceDE w:val="0"/>
              <w:adjustRightInd w:val="0"/>
              <w:snapToGrid w:val="0"/>
              <w:ind w:firstLine="480" w:firstLineChars="200"/>
              <w:rPr>
                <w:color w:val="auto"/>
                <w:sz w:val="24"/>
                <w:szCs w:val="24"/>
              </w:rPr>
            </w:pPr>
            <w:r>
              <w:rPr>
                <w:color w:val="auto"/>
                <w:sz w:val="24"/>
                <w:szCs w:val="24"/>
              </w:rPr>
              <w:t>（1）空气质量</w:t>
            </w:r>
          </w:p>
          <w:p w14:paraId="3792B777">
            <w:pPr>
              <w:autoSpaceDE w:val="0"/>
              <w:adjustRightInd w:val="0"/>
              <w:snapToGrid w:val="0"/>
              <w:ind w:firstLine="480" w:firstLineChars="200"/>
              <w:rPr>
                <w:color w:val="auto"/>
                <w:sz w:val="24"/>
                <w:szCs w:val="24"/>
              </w:rPr>
            </w:pPr>
            <w:r>
              <w:rPr>
                <w:color w:val="auto"/>
                <w:sz w:val="24"/>
                <w:szCs w:val="24"/>
              </w:rPr>
              <w:t>根据《2024年度江阴市生态环境状况公报》，2024年，全市PM</w:t>
            </w:r>
            <w:r>
              <w:rPr>
                <w:color w:val="auto"/>
                <w:sz w:val="24"/>
                <w:szCs w:val="24"/>
                <w:vertAlign w:val="subscript"/>
              </w:rPr>
              <w:t>2.5</w:t>
            </w:r>
            <w:r>
              <w:rPr>
                <w:color w:val="auto"/>
                <w:sz w:val="24"/>
                <w:szCs w:val="24"/>
              </w:rPr>
              <w:t>年平均浓度32微克/立方米，空气优良天数298天，优良天数比率为81.4%。</w:t>
            </w:r>
          </w:p>
          <w:p w14:paraId="1295176A">
            <w:pPr>
              <w:autoSpaceDE w:val="0"/>
              <w:adjustRightInd w:val="0"/>
              <w:snapToGrid w:val="0"/>
              <w:ind w:firstLine="480" w:firstLineChars="200"/>
              <w:rPr>
                <w:color w:val="auto"/>
                <w:sz w:val="24"/>
                <w:szCs w:val="24"/>
              </w:rPr>
            </w:pPr>
            <w:r>
              <w:rPr>
                <w:color w:val="auto"/>
                <w:sz w:val="24"/>
                <w:szCs w:val="24"/>
              </w:rPr>
              <w:t>全市空气SO</w:t>
            </w:r>
            <w:r>
              <w:rPr>
                <w:color w:val="auto"/>
                <w:sz w:val="24"/>
                <w:szCs w:val="24"/>
                <w:vertAlign w:val="subscript"/>
              </w:rPr>
              <w:t>2</w:t>
            </w:r>
            <w:r>
              <w:rPr>
                <w:color w:val="auto"/>
                <w:sz w:val="24"/>
                <w:szCs w:val="24"/>
              </w:rPr>
              <w:t>年平均浓度为8.0微克/立方米，达到一级标准；NO</w:t>
            </w:r>
            <w:r>
              <w:rPr>
                <w:color w:val="auto"/>
                <w:sz w:val="24"/>
                <w:szCs w:val="24"/>
                <w:vertAlign w:val="subscript"/>
              </w:rPr>
              <w:t>2</w:t>
            </w:r>
            <w:r>
              <w:rPr>
                <w:color w:val="auto"/>
                <w:sz w:val="24"/>
                <w:szCs w:val="24"/>
              </w:rPr>
              <w:t>年平均浓度为33.1微克/立方米，达到一级标准；PM</w:t>
            </w:r>
            <w:r>
              <w:rPr>
                <w:color w:val="auto"/>
                <w:sz w:val="24"/>
                <w:szCs w:val="24"/>
                <w:vertAlign w:val="subscript"/>
              </w:rPr>
              <w:t>10</w:t>
            </w:r>
            <w:r>
              <w:rPr>
                <w:color w:val="auto"/>
                <w:sz w:val="24"/>
                <w:szCs w:val="24"/>
              </w:rPr>
              <w:t>年平均浓度为51.7微克/立方米，达到二级标准，全省排名同比上升3名；CO年平均浓度1.134毫克/立方米，达到一级标准；O</w:t>
            </w:r>
            <w:r>
              <w:rPr>
                <w:color w:val="auto"/>
                <w:sz w:val="24"/>
                <w:szCs w:val="24"/>
                <w:vertAlign w:val="subscript"/>
              </w:rPr>
              <w:t>3</w:t>
            </w:r>
            <w:r>
              <w:rPr>
                <w:color w:val="auto"/>
                <w:sz w:val="24"/>
                <w:szCs w:val="24"/>
              </w:rPr>
              <w:t>年平均浓度162微克/立方米。因此，该区域为不达标区。</w:t>
            </w:r>
          </w:p>
          <w:p w14:paraId="7CB00669">
            <w:pPr>
              <w:autoSpaceDE w:val="0"/>
              <w:adjustRightInd w:val="0"/>
              <w:snapToGrid w:val="0"/>
              <w:ind w:firstLine="480" w:firstLineChars="200"/>
              <w:rPr>
                <w:color w:val="auto"/>
                <w:sz w:val="24"/>
                <w:szCs w:val="24"/>
              </w:rPr>
            </w:pPr>
            <w:r>
              <w:rPr>
                <w:color w:val="auto"/>
                <w:sz w:val="24"/>
                <w:szCs w:val="24"/>
              </w:rPr>
              <w:t>根据《2024年度江阴市生态环境状况公报》可知，2024年江阴市空气质量状况见表3-1。</w:t>
            </w:r>
          </w:p>
          <w:p w14:paraId="07F2E03C">
            <w:pPr>
              <w:pStyle w:val="5"/>
              <w:widowControl/>
              <w:numPr>
                <w:ilvl w:val="0"/>
                <w:numId w:val="0"/>
              </w:numPr>
              <w:adjustRightInd/>
              <w:snapToGrid/>
              <w:spacing w:line="360" w:lineRule="auto"/>
              <w:rPr>
                <w:rFonts w:eastAsia="宋体"/>
                <w:b/>
                <w:color w:val="auto"/>
                <w:szCs w:val="24"/>
              </w:rPr>
            </w:pPr>
            <w:r>
              <w:rPr>
                <w:rFonts w:eastAsia="宋体"/>
                <w:b/>
                <w:color w:val="auto"/>
                <w:szCs w:val="24"/>
              </w:rPr>
              <w:t>表3-1空气质量现状评价表</w:t>
            </w:r>
          </w:p>
          <w:tbl>
            <w:tblPr>
              <w:tblStyle w:val="2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814"/>
              <w:gridCol w:w="1415"/>
              <w:gridCol w:w="2157"/>
              <w:gridCol w:w="1690"/>
              <w:gridCol w:w="918"/>
              <w:gridCol w:w="917"/>
            </w:tblGrid>
            <w:tr w14:paraId="4A7F0FB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818" w:type="dxa"/>
                  <w:tcBorders>
                    <w:tl2br w:val="nil"/>
                    <w:tr2bl w:val="nil"/>
                  </w:tcBorders>
                  <w:vAlign w:val="center"/>
                </w:tcPr>
                <w:p w14:paraId="0B911B77">
                  <w:pPr>
                    <w:adjustRightInd w:val="0"/>
                    <w:snapToGrid w:val="0"/>
                    <w:spacing w:line="240" w:lineRule="auto"/>
                    <w:jc w:val="center"/>
                    <w:rPr>
                      <w:color w:val="auto"/>
                    </w:rPr>
                  </w:pPr>
                  <w:r>
                    <w:rPr>
                      <w:color w:val="auto"/>
                    </w:rPr>
                    <w:t>年份</w:t>
                  </w:r>
                </w:p>
              </w:tc>
              <w:tc>
                <w:tcPr>
                  <w:tcW w:w="1426" w:type="dxa"/>
                  <w:tcBorders>
                    <w:tl2br w:val="nil"/>
                    <w:tr2bl w:val="nil"/>
                  </w:tcBorders>
                  <w:vAlign w:val="center"/>
                </w:tcPr>
                <w:p w14:paraId="58D76A83">
                  <w:pPr>
                    <w:adjustRightInd w:val="0"/>
                    <w:snapToGrid w:val="0"/>
                    <w:spacing w:line="240" w:lineRule="auto"/>
                    <w:jc w:val="center"/>
                    <w:rPr>
                      <w:color w:val="auto"/>
                    </w:rPr>
                  </w:pPr>
                  <w:r>
                    <w:rPr>
                      <w:color w:val="auto"/>
                    </w:rPr>
                    <w:t>污染物</w:t>
                  </w:r>
                </w:p>
              </w:tc>
              <w:tc>
                <w:tcPr>
                  <w:tcW w:w="2180" w:type="dxa"/>
                  <w:tcBorders>
                    <w:tl2br w:val="nil"/>
                    <w:tr2bl w:val="nil"/>
                  </w:tcBorders>
                  <w:vAlign w:val="center"/>
                </w:tcPr>
                <w:p w14:paraId="5B1E0BF7">
                  <w:pPr>
                    <w:adjustRightInd w:val="0"/>
                    <w:snapToGrid w:val="0"/>
                    <w:spacing w:line="240" w:lineRule="auto"/>
                    <w:jc w:val="center"/>
                    <w:rPr>
                      <w:color w:val="auto"/>
                    </w:rPr>
                  </w:pPr>
                  <w:r>
                    <w:rPr>
                      <w:color w:val="auto"/>
                    </w:rPr>
                    <w:t>年评价指标</w:t>
                  </w:r>
                </w:p>
              </w:tc>
              <w:tc>
                <w:tcPr>
                  <w:tcW w:w="1704" w:type="dxa"/>
                  <w:tcBorders>
                    <w:tl2br w:val="nil"/>
                    <w:tr2bl w:val="nil"/>
                  </w:tcBorders>
                  <w:vAlign w:val="center"/>
                </w:tcPr>
                <w:p w14:paraId="2ABDDD8C">
                  <w:pPr>
                    <w:adjustRightInd w:val="0"/>
                    <w:snapToGrid w:val="0"/>
                    <w:spacing w:line="240" w:lineRule="auto"/>
                    <w:jc w:val="center"/>
                    <w:rPr>
                      <w:color w:val="auto"/>
                    </w:rPr>
                  </w:pPr>
                  <w:r>
                    <w:rPr>
                      <w:color w:val="auto"/>
                    </w:rPr>
                    <w:t>现状浓度μg/m</w:t>
                  </w:r>
                  <w:r>
                    <w:rPr>
                      <w:color w:val="auto"/>
                      <w:vertAlign w:val="superscript"/>
                    </w:rPr>
                    <w:t>3</w:t>
                  </w:r>
                </w:p>
              </w:tc>
              <w:tc>
                <w:tcPr>
                  <w:tcW w:w="922" w:type="dxa"/>
                  <w:tcBorders>
                    <w:tl2br w:val="nil"/>
                    <w:tr2bl w:val="nil"/>
                  </w:tcBorders>
                  <w:vAlign w:val="center"/>
                </w:tcPr>
                <w:p w14:paraId="50E8FD07">
                  <w:pPr>
                    <w:adjustRightInd w:val="0"/>
                    <w:snapToGrid w:val="0"/>
                    <w:spacing w:line="240" w:lineRule="auto"/>
                    <w:jc w:val="center"/>
                    <w:rPr>
                      <w:color w:val="auto"/>
                    </w:rPr>
                  </w:pPr>
                  <w:r>
                    <w:rPr>
                      <w:color w:val="auto"/>
                    </w:rPr>
                    <w:t>标准值</w:t>
                  </w:r>
                </w:p>
                <w:p w14:paraId="153FE617">
                  <w:pPr>
                    <w:adjustRightInd w:val="0"/>
                    <w:snapToGrid w:val="0"/>
                    <w:spacing w:line="240" w:lineRule="auto"/>
                    <w:jc w:val="center"/>
                    <w:rPr>
                      <w:color w:val="auto"/>
                    </w:rPr>
                  </w:pPr>
                  <w:r>
                    <w:rPr>
                      <w:color w:val="auto"/>
                    </w:rPr>
                    <w:t>μg/m3</w:t>
                  </w:r>
                </w:p>
              </w:tc>
              <w:tc>
                <w:tcPr>
                  <w:tcW w:w="921" w:type="dxa"/>
                  <w:tcBorders>
                    <w:tl2br w:val="nil"/>
                    <w:tr2bl w:val="nil"/>
                  </w:tcBorders>
                  <w:vAlign w:val="center"/>
                </w:tcPr>
                <w:p w14:paraId="4F6AAD16">
                  <w:pPr>
                    <w:adjustRightInd w:val="0"/>
                    <w:snapToGrid w:val="0"/>
                    <w:spacing w:line="240" w:lineRule="auto"/>
                    <w:jc w:val="center"/>
                    <w:rPr>
                      <w:color w:val="auto"/>
                    </w:rPr>
                  </w:pPr>
                  <w:r>
                    <w:rPr>
                      <w:color w:val="auto"/>
                    </w:rPr>
                    <w:t>占标率/%</w:t>
                  </w:r>
                </w:p>
              </w:tc>
            </w:tr>
            <w:tr w14:paraId="2745CB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18" w:type="dxa"/>
                  <w:vMerge w:val="restart"/>
                  <w:tcBorders>
                    <w:tl2br w:val="nil"/>
                    <w:tr2bl w:val="nil"/>
                  </w:tcBorders>
                  <w:vAlign w:val="center"/>
                </w:tcPr>
                <w:p w14:paraId="0789C5F5">
                  <w:pPr>
                    <w:adjustRightInd w:val="0"/>
                    <w:snapToGrid w:val="0"/>
                    <w:spacing w:line="240" w:lineRule="auto"/>
                    <w:jc w:val="center"/>
                    <w:rPr>
                      <w:color w:val="auto"/>
                    </w:rPr>
                  </w:pPr>
                  <w:r>
                    <w:rPr>
                      <w:color w:val="auto"/>
                    </w:rPr>
                    <w:t>2024年</w:t>
                  </w:r>
                </w:p>
              </w:tc>
              <w:tc>
                <w:tcPr>
                  <w:tcW w:w="1426" w:type="dxa"/>
                  <w:tcBorders>
                    <w:tl2br w:val="nil"/>
                    <w:tr2bl w:val="nil"/>
                  </w:tcBorders>
                  <w:vAlign w:val="center"/>
                </w:tcPr>
                <w:p w14:paraId="4B7BF483">
                  <w:pPr>
                    <w:adjustRightInd w:val="0"/>
                    <w:snapToGrid w:val="0"/>
                    <w:spacing w:line="240" w:lineRule="auto"/>
                    <w:jc w:val="center"/>
                    <w:rPr>
                      <w:color w:val="auto"/>
                    </w:rPr>
                  </w:pPr>
                  <w:r>
                    <w:rPr>
                      <w:color w:val="auto"/>
                    </w:rPr>
                    <w:t>SO</w:t>
                  </w:r>
                  <w:r>
                    <w:rPr>
                      <w:color w:val="auto"/>
                      <w:vertAlign w:val="subscript"/>
                    </w:rPr>
                    <w:t>2</w:t>
                  </w:r>
                </w:p>
              </w:tc>
              <w:tc>
                <w:tcPr>
                  <w:tcW w:w="2180" w:type="dxa"/>
                  <w:tcBorders>
                    <w:tl2br w:val="nil"/>
                    <w:tr2bl w:val="nil"/>
                  </w:tcBorders>
                  <w:vAlign w:val="center"/>
                </w:tcPr>
                <w:p w14:paraId="6D601B61">
                  <w:pPr>
                    <w:adjustRightInd w:val="0"/>
                    <w:snapToGrid w:val="0"/>
                    <w:spacing w:line="240" w:lineRule="auto"/>
                    <w:jc w:val="center"/>
                    <w:rPr>
                      <w:color w:val="auto"/>
                    </w:rPr>
                  </w:pPr>
                  <w:r>
                    <w:rPr>
                      <w:color w:val="auto"/>
                    </w:rPr>
                    <w:t>年平均质量浓度</w:t>
                  </w:r>
                </w:p>
              </w:tc>
              <w:tc>
                <w:tcPr>
                  <w:tcW w:w="1704" w:type="dxa"/>
                  <w:tcBorders>
                    <w:tl2br w:val="nil"/>
                    <w:tr2bl w:val="nil"/>
                  </w:tcBorders>
                  <w:vAlign w:val="center"/>
                </w:tcPr>
                <w:p w14:paraId="1B07579E">
                  <w:pPr>
                    <w:adjustRightInd w:val="0"/>
                    <w:snapToGrid w:val="0"/>
                    <w:spacing w:line="240" w:lineRule="auto"/>
                    <w:jc w:val="center"/>
                    <w:rPr>
                      <w:color w:val="auto"/>
                    </w:rPr>
                  </w:pPr>
                  <w:r>
                    <w:rPr>
                      <w:color w:val="auto"/>
                    </w:rPr>
                    <w:t>8.0</w:t>
                  </w:r>
                </w:p>
              </w:tc>
              <w:tc>
                <w:tcPr>
                  <w:tcW w:w="922" w:type="dxa"/>
                  <w:tcBorders>
                    <w:tl2br w:val="nil"/>
                    <w:tr2bl w:val="nil"/>
                  </w:tcBorders>
                  <w:vAlign w:val="center"/>
                </w:tcPr>
                <w:p w14:paraId="03B91A26">
                  <w:pPr>
                    <w:adjustRightInd w:val="0"/>
                    <w:snapToGrid w:val="0"/>
                    <w:spacing w:line="240" w:lineRule="auto"/>
                    <w:jc w:val="center"/>
                    <w:rPr>
                      <w:color w:val="auto"/>
                    </w:rPr>
                  </w:pPr>
                  <w:r>
                    <w:rPr>
                      <w:color w:val="auto"/>
                    </w:rPr>
                    <w:t>60</w:t>
                  </w:r>
                </w:p>
              </w:tc>
              <w:tc>
                <w:tcPr>
                  <w:tcW w:w="921" w:type="dxa"/>
                  <w:tcBorders>
                    <w:tl2br w:val="nil"/>
                    <w:tr2bl w:val="nil"/>
                  </w:tcBorders>
                  <w:vAlign w:val="center"/>
                </w:tcPr>
                <w:p w14:paraId="6F2CDDCC">
                  <w:pPr>
                    <w:adjustRightInd w:val="0"/>
                    <w:snapToGrid w:val="0"/>
                    <w:spacing w:line="240" w:lineRule="auto"/>
                    <w:jc w:val="center"/>
                    <w:rPr>
                      <w:color w:val="auto"/>
                    </w:rPr>
                  </w:pPr>
                  <w:r>
                    <w:rPr>
                      <w:color w:val="auto"/>
                    </w:rPr>
                    <w:t>13.3</w:t>
                  </w:r>
                </w:p>
              </w:tc>
            </w:tr>
            <w:tr w14:paraId="04E3D1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18" w:type="dxa"/>
                  <w:vMerge w:val="continue"/>
                  <w:tcBorders>
                    <w:tl2br w:val="nil"/>
                    <w:tr2bl w:val="nil"/>
                  </w:tcBorders>
                  <w:vAlign w:val="center"/>
                </w:tcPr>
                <w:p w14:paraId="3B9FB8F8">
                  <w:pPr>
                    <w:adjustRightInd w:val="0"/>
                    <w:snapToGrid w:val="0"/>
                    <w:spacing w:line="240" w:lineRule="auto"/>
                    <w:jc w:val="center"/>
                    <w:rPr>
                      <w:color w:val="auto"/>
                    </w:rPr>
                  </w:pPr>
                </w:p>
              </w:tc>
              <w:tc>
                <w:tcPr>
                  <w:tcW w:w="1426" w:type="dxa"/>
                  <w:tcBorders>
                    <w:tl2br w:val="nil"/>
                    <w:tr2bl w:val="nil"/>
                  </w:tcBorders>
                  <w:vAlign w:val="center"/>
                </w:tcPr>
                <w:p w14:paraId="7987D184">
                  <w:pPr>
                    <w:adjustRightInd w:val="0"/>
                    <w:snapToGrid w:val="0"/>
                    <w:spacing w:line="240" w:lineRule="auto"/>
                    <w:jc w:val="center"/>
                    <w:rPr>
                      <w:color w:val="auto"/>
                    </w:rPr>
                  </w:pPr>
                  <w:r>
                    <w:rPr>
                      <w:color w:val="auto"/>
                    </w:rPr>
                    <w:t>NO</w:t>
                  </w:r>
                  <w:r>
                    <w:rPr>
                      <w:color w:val="auto"/>
                      <w:vertAlign w:val="subscript"/>
                    </w:rPr>
                    <w:t>2</w:t>
                  </w:r>
                </w:p>
              </w:tc>
              <w:tc>
                <w:tcPr>
                  <w:tcW w:w="2180" w:type="dxa"/>
                  <w:tcBorders>
                    <w:tl2br w:val="nil"/>
                    <w:tr2bl w:val="nil"/>
                  </w:tcBorders>
                  <w:vAlign w:val="center"/>
                </w:tcPr>
                <w:p w14:paraId="6A7DA378">
                  <w:pPr>
                    <w:adjustRightInd w:val="0"/>
                    <w:snapToGrid w:val="0"/>
                    <w:spacing w:line="240" w:lineRule="auto"/>
                    <w:jc w:val="center"/>
                    <w:rPr>
                      <w:color w:val="auto"/>
                    </w:rPr>
                  </w:pPr>
                  <w:r>
                    <w:rPr>
                      <w:color w:val="auto"/>
                    </w:rPr>
                    <w:t>年平均质量浓度</w:t>
                  </w:r>
                </w:p>
              </w:tc>
              <w:tc>
                <w:tcPr>
                  <w:tcW w:w="1704" w:type="dxa"/>
                  <w:tcBorders>
                    <w:tl2br w:val="nil"/>
                    <w:tr2bl w:val="nil"/>
                  </w:tcBorders>
                  <w:vAlign w:val="center"/>
                </w:tcPr>
                <w:p w14:paraId="70F52FCC">
                  <w:pPr>
                    <w:adjustRightInd w:val="0"/>
                    <w:snapToGrid w:val="0"/>
                    <w:spacing w:line="240" w:lineRule="auto"/>
                    <w:jc w:val="center"/>
                    <w:rPr>
                      <w:color w:val="auto"/>
                    </w:rPr>
                  </w:pPr>
                  <w:r>
                    <w:rPr>
                      <w:color w:val="auto"/>
                    </w:rPr>
                    <w:t>33.1</w:t>
                  </w:r>
                </w:p>
              </w:tc>
              <w:tc>
                <w:tcPr>
                  <w:tcW w:w="922" w:type="dxa"/>
                  <w:tcBorders>
                    <w:tl2br w:val="nil"/>
                    <w:tr2bl w:val="nil"/>
                  </w:tcBorders>
                  <w:vAlign w:val="center"/>
                </w:tcPr>
                <w:p w14:paraId="093792F5">
                  <w:pPr>
                    <w:adjustRightInd w:val="0"/>
                    <w:snapToGrid w:val="0"/>
                    <w:spacing w:line="240" w:lineRule="auto"/>
                    <w:jc w:val="center"/>
                    <w:rPr>
                      <w:color w:val="auto"/>
                    </w:rPr>
                  </w:pPr>
                  <w:r>
                    <w:rPr>
                      <w:color w:val="auto"/>
                    </w:rPr>
                    <w:t>40</w:t>
                  </w:r>
                </w:p>
              </w:tc>
              <w:tc>
                <w:tcPr>
                  <w:tcW w:w="921" w:type="dxa"/>
                  <w:tcBorders>
                    <w:tl2br w:val="nil"/>
                    <w:tr2bl w:val="nil"/>
                  </w:tcBorders>
                  <w:vAlign w:val="center"/>
                </w:tcPr>
                <w:p w14:paraId="340D7F92">
                  <w:pPr>
                    <w:adjustRightInd w:val="0"/>
                    <w:snapToGrid w:val="0"/>
                    <w:spacing w:line="240" w:lineRule="auto"/>
                    <w:jc w:val="center"/>
                    <w:rPr>
                      <w:color w:val="auto"/>
                    </w:rPr>
                  </w:pPr>
                  <w:r>
                    <w:rPr>
                      <w:color w:val="auto"/>
                    </w:rPr>
                    <w:t>82.75</w:t>
                  </w:r>
                </w:p>
              </w:tc>
            </w:tr>
            <w:tr w14:paraId="7E40A7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18" w:type="dxa"/>
                  <w:vMerge w:val="continue"/>
                  <w:tcBorders>
                    <w:tl2br w:val="nil"/>
                    <w:tr2bl w:val="nil"/>
                  </w:tcBorders>
                  <w:vAlign w:val="center"/>
                </w:tcPr>
                <w:p w14:paraId="32DE0844">
                  <w:pPr>
                    <w:adjustRightInd w:val="0"/>
                    <w:snapToGrid w:val="0"/>
                    <w:spacing w:line="240" w:lineRule="auto"/>
                    <w:jc w:val="center"/>
                    <w:rPr>
                      <w:color w:val="auto"/>
                    </w:rPr>
                  </w:pPr>
                </w:p>
              </w:tc>
              <w:tc>
                <w:tcPr>
                  <w:tcW w:w="1426" w:type="dxa"/>
                  <w:tcBorders>
                    <w:tl2br w:val="nil"/>
                    <w:tr2bl w:val="nil"/>
                  </w:tcBorders>
                  <w:vAlign w:val="center"/>
                </w:tcPr>
                <w:p w14:paraId="0AEFF804">
                  <w:pPr>
                    <w:adjustRightInd w:val="0"/>
                    <w:snapToGrid w:val="0"/>
                    <w:spacing w:line="240" w:lineRule="auto"/>
                    <w:jc w:val="center"/>
                    <w:rPr>
                      <w:color w:val="auto"/>
                    </w:rPr>
                  </w:pPr>
                  <w:r>
                    <w:rPr>
                      <w:color w:val="auto"/>
                    </w:rPr>
                    <w:t>PM</w:t>
                  </w:r>
                  <w:r>
                    <w:rPr>
                      <w:color w:val="auto"/>
                      <w:vertAlign w:val="subscript"/>
                    </w:rPr>
                    <w:t>10</w:t>
                  </w:r>
                </w:p>
              </w:tc>
              <w:tc>
                <w:tcPr>
                  <w:tcW w:w="2180" w:type="dxa"/>
                  <w:tcBorders>
                    <w:tl2br w:val="nil"/>
                    <w:tr2bl w:val="nil"/>
                  </w:tcBorders>
                  <w:vAlign w:val="center"/>
                </w:tcPr>
                <w:p w14:paraId="330A66BA">
                  <w:pPr>
                    <w:adjustRightInd w:val="0"/>
                    <w:snapToGrid w:val="0"/>
                    <w:spacing w:line="240" w:lineRule="auto"/>
                    <w:jc w:val="center"/>
                    <w:rPr>
                      <w:color w:val="auto"/>
                    </w:rPr>
                  </w:pPr>
                  <w:r>
                    <w:rPr>
                      <w:color w:val="auto"/>
                    </w:rPr>
                    <w:t>年平均质量浓度</w:t>
                  </w:r>
                </w:p>
              </w:tc>
              <w:tc>
                <w:tcPr>
                  <w:tcW w:w="1704" w:type="dxa"/>
                  <w:tcBorders>
                    <w:tl2br w:val="nil"/>
                    <w:tr2bl w:val="nil"/>
                  </w:tcBorders>
                  <w:vAlign w:val="center"/>
                </w:tcPr>
                <w:p w14:paraId="3113CD08">
                  <w:pPr>
                    <w:adjustRightInd w:val="0"/>
                    <w:snapToGrid w:val="0"/>
                    <w:spacing w:line="240" w:lineRule="auto"/>
                    <w:jc w:val="center"/>
                    <w:rPr>
                      <w:color w:val="auto"/>
                    </w:rPr>
                  </w:pPr>
                  <w:r>
                    <w:rPr>
                      <w:color w:val="auto"/>
                    </w:rPr>
                    <w:t>51.7</w:t>
                  </w:r>
                </w:p>
              </w:tc>
              <w:tc>
                <w:tcPr>
                  <w:tcW w:w="922" w:type="dxa"/>
                  <w:tcBorders>
                    <w:tl2br w:val="nil"/>
                    <w:tr2bl w:val="nil"/>
                  </w:tcBorders>
                  <w:vAlign w:val="center"/>
                </w:tcPr>
                <w:p w14:paraId="5FAD6F1E">
                  <w:pPr>
                    <w:adjustRightInd w:val="0"/>
                    <w:snapToGrid w:val="0"/>
                    <w:spacing w:line="240" w:lineRule="auto"/>
                    <w:jc w:val="center"/>
                    <w:rPr>
                      <w:color w:val="auto"/>
                    </w:rPr>
                  </w:pPr>
                  <w:r>
                    <w:rPr>
                      <w:color w:val="auto"/>
                    </w:rPr>
                    <w:t>70</w:t>
                  </w:r>
                </w:p>
              </w:tc>
              <w:tc>
                <w:tcPr>
                  <w:tcW w:w="921" w:type="dxa"/>
                  <w:tcBorders>
                    <w:tl2br w:val="nil"/>
                    <w:tr2bl w:val="nil"/>
                  </w:tcBorders>
                  <w:vAlign w:val="center"/>
                </w:tcPr>
                <w:p w14:paraId="1B8CA91E">
                  <w:pPr>
                    <w:adjustRightInd w:val="0"/>
                    <w:snapToGrid w:val="0"/>
                    <w:spacing w:line="240" w:lineRule="auto"/>
                    <w:jc w:val="center"/>
                    <w:rPr>
                      <w:color w:val="auto"/>
                    </w:rPr>
                  </w:pPr>
                  <w:r>
                    <w:rPr>
                      <w:color w:val="auto"/>
                    </w:rPr>
                    <w:t>73.86</w:t>
                  </w:r>
                </w:p>
              </w:tc>
            </w:tr>
            <w:tr w14:paraId="463859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18" w:type="dxa"/>
                  <w:vMerge w:val="continue"/>
                  <w:tcBorders>
                    <w:tl2br w:val="nil"/>
                    <w:tr2bl w:val="nil"/>
                  </w:tcBorders>
                  <w:vAlign w:val="center"/>
                </w:tcPr>
                <w:p w14:paraId="11747319">
                  <w:pPr>
                    <w:adjustRightInd w:val="0"/>
                    <w:snapToGrid w:val="0"/>
                    <w:spacing w:line="240" w:lineRule="auto"/>
                    <w:jc w:val="center"/>
                    <w:rPr>
                      <w:color w:val="auto"/>
                    </w:rPr>
                  </w:pPr>
                </w:p>
              </w:tc>
              <w:tc>
                <w:tcPr>
                  <w:tcW w:w="1426" w:type="dxa"/>
                  <w:tcBorders>
                    <w:tl2br w:val="nil"/>
                    <w:tr2bl w:val="nil"/>
                  </w:tcBorders>
                  <w:vAlign w:val="center"/>
                </w:tcPr>
                <w:p w14:paraId="3B704758">
                  <w:pPr>
                    <w:adjustRightInd w:val="0"/>
                    <w:snapToGrid w:val="0"/>
                    <w:spacing w:line="240" w:lineRule="auto"/>
                    <w:jc w:val="center"/>
                    <w:rPr>
                      <w:color w:val="auto"/>
                    </w:rPr>
                  </w:pPr>
                  <w:r>
                    <w:rPr>
                      <w:color w:val="auto"/>
                    </w:rPr>
                    <w:t>PM</w:t>
                  </w:r>
                  <w:r>
                    <w:rPr>
                      <w:color w:val="auto"/>
                      <w:vertAlign w:val="subscript"/>
                    </w:rPr>
                    <w:t>2.5</w:t>
                  </w:r>
                </w:p>
              </w:tc>
              <w:tc>
                <w:tcPr>
                  <w:tcW w:w="2180" w:type="dxa"/>
                  <w:tcBorders>
                    <w:tl2br w:val="nil"/>
                    <w:tr2bl w:val="nil"/>
                  </w:tcBorders>
                  <w:vAlign w:val="center"/>
                </w:tcPr>
                <w:p w14:paraId="5D6DDCD3">
                  <w:pPr>
                    <w:adjustRightInd w:val="0"/>
                    <w:snapToGrid w:val="0"/>
                    <w:spacing w:line="240" w:lineRule="auto"/>
                    <w:jc w:val="center"/>
                    <w:rPr>
                      <w:color w:val="auto"/>
                    </w:rPr>
                  </w:pPr>
                  <w:r>
                    <w:rPr>
                      <w:color w:val="auto"/>
                    </w:rPr>
                    <w:t>年平均质量浓度</w:t>
                  </w:r>
                </w:p>
              </w:tc>
              <w:tc>
                <w:tcPr>
                  <w:tcW w:w="1704" w:type="dxa"/>
                  <w:tcBorders>
                    <w:tl2br w:val="nil"/>
                    <w:tr2bl w:val="nil"/>
                  </w:tcBorders>
                  <w:vAlign w:val="center"/>
                </w:tcPr>
                <w:p w14:paraId="5ABD6D08">
                  <w:pPr>
                    <w:adjustRightInd w:val="0"/>
                    <w:snapToGrid w:val="0"/>
                    <w:spacing w:line="240" w:lineRule="auto"/>
                    <w:jc w:val="center"/>
                    <w:rPr>
                      <w:color w:val="auto"/>
                    </w:rPr>
                  </w:pPr>
                  <w:r>
                    <w:rPr>
                      <w:color w:val="auto"/>
                    </w:rPr>
                    <w:t>32</w:t>
                  </w:r>
                </w:p>
              </w:tc>
              <w:tc>
                <w:tcPr>
                  <w:tcW w:w="922" w:type="dxa"/>
                  <w:tcBorders>
                    <w:tl2br w:val="nil"/>
                    <w:tr2bl w:val="nil"/>
                  </w:tcBorders>
                  <w:vAlign w:val="center"/>
                </w:tcPr>
                <w:p w14:paraId="300CB8B4">
                  <w:pPr>
                    <w:adjustRightInd w:val="0"/>
                    <w:snapToGrid w:val="0"/>
                    <w:spacing w:line="240" w:lineRule="auto"/>
                    <w:jc w:val="center"/>
                    <w:rPr>
                      <w:color w:val="auto"/>
                    </w:rPr>
                  </w:pPr>
                  <w:r>
                    <w:rPr>
                      <w:color w:val="auto"/>
                    </w:rPr>
                    <w:t>35</w:t>
                  </w:r>
                </w:p>
              </w:tc>
              <w:tc>
                <w:tcPr>
                  <w:tcW w:w="921" w:type="dxa"/>
                  <w:tcBorders>
                    <w:tl2br w:val="nil"/>
                    <w:tr2bl w:val="nil"/>
                  </w:tcBorders>
                  <w:vAlign w:val="center"/>
                </w:tcPr>
                <w:p w14:paraId="7316A156">
                  <w:pPr>
                    <w:adjustRightInd w:val="0"/>
                    <w:snapToGrid w:val="0"/>
                    <w:spacing w:line="240" w:lineRule="auto"/>
                    <w:jc w:val="center"/>
                    <w:rPr>
                      <w:color w:val="auto"/>
                    </w:rPr>
                  </w:pPr>
                  <w:r>
                    <w:rPr>
                      <w:color w:val="auto"/>
                    </w:rPr>
                    <w:t>91.43</w:t>
                  </w:r>
                </w:p>
              </w:tc>
            </w:tr>
            <w:tr w14:paraId="131A3E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818" w:type="dxa"/>
                  <w:vMerge w:val="continue"/>
                  <w:tcBorders>
                    <w:tl2br w:val="nil"/>
                    <w:tr2bl w:val="nil"/>
                  </w:tcBorders>
                  <w:vAlign w:val="center"/>
                </w:tcPr>
                <w:p w14:paraId="7AC1F3C7">
                  <w:pPr>
                    <w:adjustRightInd w:val="0"/>
                    <w:snapToGrid w:val="0"/>
                    <w:spacing w:line="240" w:lineRule="auto"/>
                    <w:jc w:val="center"/>
                    <w:rPr>
                      <w:color w:val="auto"/>
                    </w:rPr>
                  </w:pPr>
                </w:p>
              </w:tc>
              <w:tc>
                <w:tcPr>
                  <w:tcW w:w="1426" w:type="dxa"/>
                  <w:tcBorders>
                    <w:tl2br w:val="nil"/>
                    <w:tr2bl w:val="nil"/>
                  </w:tcBorders>
                  <w:vAlign w:val="center"/>
                </w:tcPr>
                <w:p w14:paraId="7DB210BA">
                  <w:pPr>
                    <w:adjustRightInd w:val="0"/>
                    <w:snapToGrid w:val="0"/>
                    <w:spacing w:line="240" w:lineRule="auto"/>
                    <w:jc w:val="center"/>
                    <w:rPr>
                      <w:color w:val="auto"/>
                    </w:rPr>
                  </w:pPr>
                  <w:r>
                    <w:rPr>
                      <w:color w:val="auto"/>
                    </w:rPr>
                    <w:t>CO</w:t>
                  </w:r>
                </w:p>
              </w:tc>
              <w:tc>
                <w:tcPr>
                  <w:tcW w:w="2180" w:type="dxa"/>
                  <w:tcBorders>
                    <w:tl2br w:val="nil"/>
                    <w:tr2bl w:val="nil"/>
                  </w:tcBorders>
                  <w:vAlign w:val="center"/>
                </w:tcPr>
                <w:p w14:paraId="33389E17">
                  <w:pPr>
                    <w:adjustRightInd w:val="0"/>
                    <w:snapToGrid w:val="0"/>
                    <w:spacing w:line="240" w:lineRule="auto"/>
                    <w:jc w:val="center"/>
                    <w:rPr>
                      <w:color w:val="auto"/>
                    </w:rPr>
                  </w:pPr>
                  <w:r>
                    <w:rPr>
                      <w:color w:val="auto"/>
                    </w:rPr>
                    <w:t>24小时平均浓度第95百分位数</w:t>
                  </w:r>
                </w:p>
              </w:tc>
              <w:tc>
                <w:tcPr>
                  <w:tcW w:w="1704" w:type="dxa"/>
                  <w:tcBorders>
                    <w:tl2br w:val="nil"/>
                    <w:tr2bl w:val="nil"/>
                  </w:tcBorders>
                  <w:vAlign w:val="center"/>
                </w:tcPr>
                <w:p w14:paraId="1E15AF33">
                  <w:pPr>
                    <w:adjustRightInd w:val="0"/>
                    <w:snapToGrid w:val="0"/>
                    <w:spacing w:line="240" w:lineRule="auto"/>
                    <w:jc w:val="center"/>
                    <w:rPr>
                      <w:color w:val="auto"/>
                    </w:rPr>
                  </w:pPr>
                  <w:r>
                    <w:rPr>
                      <w:color w:val="auto"/>
                    </w:rPr>
                    <w:t>1134</w:t>
                  </w:r>
                </w:p>
              </w:tc>
              <w:tc>
                <w:tcPr>
                  <w:tcW w:w="922" w:type="dxa"/>
                  <w:tcBorders>
                    <w:tl2br w:val="nil"/>
                    <w:tr2bl w:val="nil"/>
                  </w:tcBorders>
                  <w:vAlign w:val="center"/>
                </w:tcPr>
                <w:p w14:paraId="40EEFF02">
                  <w:pPr>
                    <w:adjustRightInd w:val="0"/>
                    <w:snapToGrid w:val="0"/>
                    <w:spacing w:line="240" w:lineRule="auto"/>
                    <w:jc w:val="center"/>
                    <w:rPr>
                      <w:color w:val="auto"/>
                    </w:rPr>
                  </w:pPr>
                  <w:r>
                    <w:rPr>
                      <w:color w:val="auto"/>
                    </w:rPr>
                    <w:t>4000</w:t>
                  </w:r>
                </w:p>
              </w:tc>
              <w:tc>
                <w:tcPr>
                  <w:tcW w:w="921" w:type="dxa"/>
                  <w:tcBorders>
                    <w:tl2br w:val="nil"/>
                    <w:tr2bl w:val="nil"/>
                  </w:tcBorders>
                  <w:vAlign w:val="center"/>
                </w:tcPr>
                <w:p w14:paraId="2BB9D482">
                  <w:pPr>
                    <w:adjustRightInd w:val="0"/>
                    <w:snapToGrid w:val="0"/>
                    <w:spacing w:line="240" w:lineRule="auto"/>
                    <w:jc w:val="center"/>
                    <w:rPr>
                      <w:color w:val="auto"/>
                    </w:rPr>
                  </w:pPr>
                  <w:r>
                    <w:rPr>
                      <w:color w:val="auto"/>
                    </w:rPr>
                    <w:t>28.35</w:t>
                  </w:r>
                </w:p>
              </w:tc>
            </w:tr>
            <w:tr w14:paraId="212771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818" w:type="dxa"/>
                  <w:vMerge w:val="continue"/>
                  <w:tcBorders>
                    <w:tl2br w:val="nil"/>
                    <w:tr2bl w:val="nil"/>
                  </w:tcBorders>
                  <w:vAlign w:val="center"/>
                </w:tcPr>
                <w:p w14:paraId="70DB40C1">
                  <w:pPr>
                    <w:adjustRightInd w:val="0"/>
                    <w:snapToGrid w:val="0"/>
                    <w:spacing w:line="240" w:lineRule="auto"/>
                    <w:jc w:val="center"/>
                    <w:rPr>
                      <w:color w:val="auto"/>
                    </w:rPr>
                  </w:pPr>
                </w:p>
              </w:tc>
              <w:tc>
                <w:tcPr>
                  <w:tcW w:w="1426" w:type="dxa"/>
                  <w:tcBorders>
                    <w:tl2br w:val="nil"/>
                    <w:tr2bl w:val="nil"/>
                  </w:tcBorders>
                  <w:vAlign w:val="center"/>
                </w:tcPr>
                <w:p w14:paraId="2650310A">
                  <w:pPr>
                    <w:adjustRightInd w:val="0"/>
                    <w:snapToGrid w:val="0"/>
                    <w:spacing w:line="240" w:lineRule="auto"/>
                    <w:jc w:val="center"/>
                    <w:rPr>
                      <w:color w:val="auto"/>
                    </w:rPr>
                  </w:pPr>
                  <w:r>
                    <w:rPr>
                      <w:color w:val="auto"/>
                    </w:rPr>
                    <w:t>O</w:t>
                  </w:r>
                  <w:r>
                    <w:rPr>
                      <w:color w:val="auto"/>
                      <w:vertAlign w:val="subscript"/>
                    </w:rPr>
                    <w:t>3</w:t>
                  </w:r>
                </w:p>
              </w:tc>
              <w:tc>
                <w:tcPr>
                  <w:tcW w:w="2180" w:type="dxa"/>
                  <w:tcBorders>
                    <w:tl2br w:val="nil"/>
                    <w:tr2bl w:val="nil"/>
                  </w:tcBorders>
                  <w:vAlign w:val="center"/>
                </w:tcPr>
                <w:p w14:paraId="6D760919">
                  <w:pPr>
                    <w:adjustRightInd w:val="0"/>
                    <w:snapToGrid w:val="0"/>
                    <w:spacing w:line="240" w:lineRule="auto"/>
                    <w:jc w:val="center"/>
                    <w:rPr>
                      <w:color w:val="auto"/>
                    </w:rPr>
                  </w:pPr>
                  <w:r>
                    <w:rPr>
                      <w:color w:val="auto"/>
                    </w:rPr>
                    <w:t>日最大8小时滑动平均值的第90百分位数</w:t>
                  </w:r>
                </w:p>
              </w:tc>
              <w:tc>
                <w:tcPr>
                  <w:tcW w:w="1704" w:type="dxa"/>
                  <w:tcBorders>
                    <w:tl2br w:val="nil"/>
                    <w:tr2bl w:val="nil"/>
                  </w:tcBorders>
                  <w:vAlign w:val="center"/>
                </w:tcPr>
                <w:p w14:paraId="6447F453">
                  <w:pPr>
                    <w:adjustRightInd w:val="0"/>
                    <w:snapToGrid w:val="0"/>
                    <w:spacing w:line="240" w:lineRule="auto"/>
                    <w:jc w:val="center"/>
                    <w:rPr>
                      <w:color w:val="auto"/>
                    </w:rPr>
                  </w:pPr>
                  <w:r>
                    <w:rPr>
                      <w:color w:val="auto"/>
                    </w:rPr>
                    <w:t>162</w:t>
                  </w:r>
                </w:p>
              </w:tc>
              <w:tc>
                <w:tcPr>
                  <w:tcW w:w="922" w:type="dxa"/>
                  <w:tcBorders>
                    <w:tl2br w:val="nil"/>
                    <w:tr2bl w:val="nil"/>
                  </w:tcBorders>
                  <w:vAlign w:val="center"/>
                </w:tcPr>
                <w:p w14:paraId="3774F1E3">
                  <w:pPr>
                    <w:adjustRightInd w:val="0"/>
                    <w:snapToGrid w:val="0"/>
                    <w:spacing w:line="240" w:lineRule="auto"/>
                    <w:jc w:val="center"/>
                    <w:rPr>
                      <w:color w:val="auto"/>
                    </w:rPr>
                  </w:pPr>
                  <w:r>
                    <w:rPr>
                      <w:color w:val="auto"/>
                    </w:rPr>
                    <w:t>160</w:t>
                  </w:r>
                </w:p>
              </w:tc>
              <w:tc>
                <w:tcPr>
                  <w:tcW w:w="921" w:type="dxa"/>
                  <w:tcBorders>
                    <w:tl2br w:val="nil"/>
                    <w:tr2bl w:val="nil"/>
                  </w:tcBorders>
                  <w:vAlign w:val="center"/>
                </w:tcPr>
                <w:p w14:paraId="1C707439">
                  <w:pPr>
                    <w:adjustRightInd w:val="0"/>
                    <w:snapToGrid w:val="0"/>
                    <w:spacing w:line="240" w:lineRule="auto"/>
                    <w:jc w:val="center"/>
                    <w:rPr>
                      <w:color w:val="auto"/>
                    </w:rPr>
                  </w:pPr>
                  <w:r>
                    <w:rPr>
                      <w:color w:val="auto"/>
                    </w:rPr>
                    <w:t>101.25</w:t>
                  </w:r>
                </w:p>
              </w:tc>
            </w:tr>
          </w:tbl>
          <w:p w14:paraId="013E9C1C">
            <w:pPr>
              <w:widowControl/>
              <w:snapToGrid w:val="0"/>
              <w:ind w:firstLine="480" w:firstLineChars="200"/>
              <w:rPr>
                <w:color w:val="auto"/>
                <w:sz w:val="24"/>
                <w:szCs w:val="24"/>
              </w:rPr>
            </w:pPr>
            <w:r>
              <w:rPr>
                <w:color w:val="auto"/>
                <w:sz w:val="24"/>
                <w:szCs w:val="24"/>
              </w:rPr>
              <w:t>根据上表，2024年江阴市SO</w:t>
            </w:r>
            <w:r>
              <w:rPr>
                <w:color w:val="auto"/>
                <w:sz w:val="24"/>
                <w:szCs w:val="24"/>
                <w:vertAlign w:val="subscript"/>
              </w:rPr>
              <w:t>2</w:t>
            </w:r>
            <w:r>
              <w:rPr>
                <w:color w:val="auto"/>
                <w:sz w:val="24"/>
                <w:szCs w:val="24"/>
              </w:rPr>
              <w:t>、NO</w:t>
            </w:r>
            <w:r>
              <w:rPr>
                <w:color w:val="auto"/>
                <w:sz w:val="24"/>
                <w:szCs w:val="24"/>
                <w:vertAlign w:val="subscript"/>
              </w:rPr>
              <w:t>2</w:t>
            </w:r>
            <w:r>
              <w:rPr>
                <w:color w:val="auto"/>
                <w:sz w:val="24"/>
                <w:szCs w:val="24"/>
              </w:rPr>
              <w:t>、PM</w:t>
            </w:r>
            <w:r>
              <w:rPr>
                <w:color w:val="auto"/>
                <w:sz w:val="24"/>
                <w:szCs w:val="24"/>
                <w:vertAlign w:val="subscript"/>
              </w:rPr>
              <w:t>10</w:t>
            </w:r>
            <w:r>
              <w:rPr>
                <w:color w:val="auto"/>
                <w:sz w:val="24"/>
                <w:szCs w:val="24"/>
              </w:rPr>
              <w:t>、PM</w:t>
            </w:r>
            <w:r>
              <w:rPr>
                <w:color w:val="auto"/>
                <w:sz w:val="24"/>
                <w:szCs w:val="24"/>
                <w:vertAlign w:val="subscript"/>
              </w:rPr>
              <w:t>2.5</w:t>
            </w:r>
            <w:r>
              <w:rPr>
                <w:color w:val="auto"/>
                <w:sz w:val="24"/>
                <w:szCs w:val="24"/>
              </w:rPr>
              <w:t>年平均浓度、CO24小时平均浓度均能满足《环境空气质量标准》（GB3095-2012）表1中二级标准要求；O</w:t>
            </w:r>
            <w:r>
              <w:rPr>
                <w:color w:val="auto"/>
                <w:sz w:val="24"/>
                <w:szCs w:val="24"/>
                <w:vertAlign w:val="subscript"/>
              </w:rPr>
              <w:t>3</w:t>
            </w:r>
            <w:r>
              <w:rPr>
                <w:color w:val="auto"/>
                <w:sz w:val="24"/>
                <w:szCs w:val="24"/>
              </w:rPr>
              <w:t>日最大8小时滑动平均值浓度超过《环境空气质量标准》（GB3095-2012）表1中二级标准要求，项目所在地属于不达标区。</w:t>
            </w:r>
          </w:p>
          <w:p w14:paraId="59F78C40">
            <w:pPr>
              <w:autoSpaceDE w:val="0"/>
              <w:adjustRightInd w:val="0"/>
              <w:ind w:firstLine="480" w:firstLineChars="200"/>
              <w:rPr>
                <w:color w:val="auto"/>
                <w:sz w:val="24"/>
                <w:szCs w:val="24"/>
              </w:rPr>
            </w:pPr>
            <w:r>
              <w:rPr>
                <w:color w:val="auto"/>
                <w:sz w:val="24"/>
                <w:szCs w:val="24"/>
              </w:rPr>
              <w:t>（2）限期达标规划方案</w:t>
            </w:r>
          </w:p>
          <w:p w14:paraId="08CC684B">
            <w:pPr>
              <w:ind w:firstLine="480" w:firstLineChars="200"/>
              <w:rPr>
                <w:color w:val="auto"/>
                <w:sz w:val="24"/>
                <w:szCs w:val="24"/>
              </w:rPr>
            </w:pPr>
            <w:r>
              <w:rPr>
                <w:color w:val="auto"/>
                <w:sz w:val="24"/>
                <w:szCs w:val="24"/>
              </w:rPr>
              <w:t>本项目大气环境质量超标，无锡市人民政府持续深入开展大气污染治理。根据《中华人民共和国大气污染防治法》的要求，未达标城市需要编制限期达标规划，明确限期达标，制定有效的大气污染防治措施。无锡市已按要求开展限期达标规划。</w:t>
            </w:r>
          </w:p>
          <w:p w14:paraId="24C9B98C">
            <w:pPr>
              <w:ind w:firstLine="480" w:firstLineChars="200"/>
              <w:rPr>
                <w:color w:val="auto"/>
                <w:sz w:val="24"/>
                <w:szCs w:val="24"/>
              </w:rPr>
            </w:pPr>
            <w:r>
              <w:rPr>
                <w:color w:val="auto"/>
                <w:sz w:val="24"/>
                <w:szCs w:val="24"/>
              </w:rPr>
              <w:t>根据《无锡市大气环境质量限期达标规划（2018-2025）》，无锡市达标规划的规划范围为：整个无锡市全市范围（4650平方公里）。无锡市区面积1643.88平方公里，另有太湖水域397.8平方公里。下辖共5个区2个市（梁溪区、滨湖区、惠山区、锡山区、新吴区、江阴市、宜兴市）、7个镇、41个街道。</w:t>
            </w:r>
          </w:p>
          <w:p w14:paraId="69E00174">
            <w:pPr>
              <w:ind w:firstLine="480" w:firstLineChars="200"/>
              <w:rPr>
                <w:color w:val="auto"/>
                <w:sz w:val="24"/>
                <w:szCs w:val="24"/>
              </w:rPr>
            </w:pPr>
            <w:r>
              <w:rPr>
                <w:color w:val="auto"/>
                <w:sz w:val="24"/>
                <w:szCs w:val="24"/>
              </w:rPr>
              <w:t>达标期限：无锡市环境空气质量在2025年实现全面达标。</w:t>
            </w:r>
          </w:p>
          <w:p w14:paraId="51A4B7ED">
            <w:pPr>
              <w:ind w:firstLine="480" w:firstLineChars="200"/>
              <w:rPr>
                <w:color w:val="auto"/>
                <w:sz w:val="24"/>
                <w:szCs w:val="24"/>
              </w:rPr>
            </w:pPr>
            <w:r>
              <w:rPr>
                <w:color w:val="auto"/>
                <w:sz w:val="24"/>
                <w:szCs w:val="24"/>
              </w:rPr>
              <w:t>编制期限：本次规划以2016年为基准年，近期评价到2020年，远期规划到2025年。</w:t>
            </w:r>
          </w:p>
          <w:p w14:paraId="3730D172">
            <w:pPr>
              <w:ind w:firstLine="480" w:firstLineChars="200"/>
              <w:rPr>
                <w:color w:val="auto"/>
                <w:sz w:val="24"/>
                <w:szCs w:val="24"/>
              </w:rPr>
            </w:pPr>
            <w:r>
              <w:rPr>
                <w:color w:val="auto"/>
                <w:sz w:val="24"/>
                <w:szCs w:val="24"/>
              </w:rPr>
              <w:t>远期目标：力争到2025年，无锡市PM</w:t>
            </w:r>
            <w:r>
              <w:rPr>
                <w:color w:val="auto"/>
                <w:sz w:val="24"/>
                <w:szCs w:val="24"/>
                <w:vertAlign w:val="subscript"/>
              </w:rPr>
              <w:t>10</w:t>
            </w:r>
            <w:r>
              <w:rPr>
                <w:color w:val="auto"/>
                <w:sz w:val="24"/>
                <w:szCs w:val="24"/>
              </w:rPr>
              <w:t>浓度达到35µg/m</w:t>
            </w:r>
            <w:r>
              <w:rPr>
                <w:color w:val="auto"/>
                <w:sz w:val="24"/>
                <w:szCs w:val="24"/>
                <w:vertAlign w:val="superscript"/>
              </w:rPr>
              <w:t>3</w:t>
            </w:r>
            <w:r>
              <w:rPr>
                <w:color w:val="auto"/>
                <w:sz w:val="24"/>
                <w:szCs w:val="24"/>
              </w:rPr>
              <w:t>；O</w:t>
            </w:r>
            <w:r>
              <w:rPr>
                <w:color w:val="auto"/>
                <w:sz w:val="24"/>
                <w:szCs w:val="24"/>
                <w:vertAlign w:val="subscript"/>
              </w:rPr>
              <w:t>3</w:t>
            </w:r>
            <w:r>
              <w:rPr>
                <w:color w:val="auto"/>
                <w:sz w:val="24"/>
                <w:szCs w:val="24"/>
              </w:rPr>
              <w:t>浓度达到拐点，除O</w:t>
            </w:r>
            <w:r>
              <w:rPr>
                <w:color w:val="auto"/>
                <w:sz w:val="24"/>
                <w:szCs w:val="24"/>
                <w:vertAlign w:val="subscript"/>
              </w:rPr>
              <w:t>3</w:t>
            </w:r>
            <w:r>
              <w:rPr>
                <w:color w:val="auto"/>
                <w:sz w:val="24"/>
                <w:szCs w:val="24"/>
              </w:rPr>
              <w:t>以外的主要大气污染物浓度达到国家二级标准要求，空气质量优良天数比率达到80%。</w:t>
            </w:r>
          </w:p>
          <w:p w14:paraId="66DFCDCA">
            <w:pPr>
              <w:ind w:firstLine="480" w:firstLineChars="200"/>
              <w:rPr>
                <w:color w:val="auto"/>
                <w:sz w:val="24"/>
                <w:szCs w:val="24"/>
              </w:rPr>
            </w:pPr>
            <w:r>
              <w:rPr>
                <w:color w:val="auto"/>
                <w:sz w:val="24"/>
                <w:szCs w:val="24"/>
              </w:rPr>
              <w:t>总体战略：以不断降低PM</w:t>
            </w:r>
            <w:r>
              <w:rPr>
                <w:color w:val="auto"/>
                <w:sz w:val="24"/>
                <w:szCs w:val="24"/>
                <w:vertAlign w:val="subscript"/>
              </w:rPr>
              <w:t>2.5</w:t>
            </w:r>
            <w:r>
              <w:rPr>
                <w:color w:val="auto"/>
                <w:sz w:val="24"/>
                <w:szCs w:val="24"/>
              </w:rPr>
              <w:t>浓度，明显减少重污染天数，明显改善环境空气质量，明显增强人民的蓝天幸福感为核心目标，推进能源结构调整，推进热电整合，优化产业结构和布局；提高各行业清洁化生产水平，全面执行大气污染物特别排放限值，完成重点企业颗粒物无组织排放深度治理，从化工、电子(半导体)、涂装等工业行业挖掘VOCs减排潜力，完成重点行业低VOCs含量原辅料替代目标；以港口码头和堆场为重点提高扬尘污染控制水平。促进PM</w:t>
            </w:r>
            <w:r>
              <w:rPr>
                <w:color w:val="auto"/>
                <w:sz w:val="24"/>
                <w:szCs w:val="24"/>
                <w:vertAlign w:val="subscript"/>
              </w:rPr>
              <w:t>2.5</w:t>
            </w:r>
            <w:r>
              <w:rPr>
                <w:color w:val="auto"/>
                <w:sz w:val="24"/>
                <w:szCs w:val="24"/>
              </w:rPr>
              <w:t>和臭氧协同控制，推进区域联防联控，提升大气污染精细化防控能力。</w:t>
            </w:r>
          </w:p>
          <w:p w14:paraId="32E6B43F">
            <w:pPr>
              <w:ind w:firstLine="480" w:firstLineChars="200"/>
              <w:rPr>
                <w:color w:val="auto"/>
                <w:sz w:val="24"/>
                <w:szCs w:val="24"/>
              </w:rPr>
            </w:pPr>
            <w:r>
              <w:rPr>
                <w:color w:val="auto"/>
                <w:sz w:val="24"/>
                <w:szCs w:val="24"/>
              </w:rPr>
              <w:t>到2025年，实施清洁能源利用，优化能源结构，以江阴市为重点推进热电整合。完成重点行业低VOCs含量原辅料替代目标。升级工艺技术，优化工艺流程，提高各行业清洁化生产水平。大幅提升新能源汽车特别是电动车比例。推进PM</w:t>
            </w:r>
            <w:r>
              <w:rPr>
                <w:color w:val="auto"/>
                <w:sz w:val="24"/>
                <w:szCs w:val="24"/>
                <w:vertAlign w:val="subscript"/>
              </w:rPr>
              <w:t>2.5</w:t>
            </w:r>
            <w:r>
              <w:rPr>
                <w:color w:val="auto"/>
                <w:sz w:val="24"/>
                <w:szCs w:val="24"/>
              </w:rPr>
              <w:t>和臭氧的协同控制，推进区域联防联控。</w:t>
            </w:r>
          </w:p>
          <w:p w14:paraId="579DA403">
            <w:pPr>
              <w:rPr>
                <w:b/>
                <w:color w:val="auto"/>
                <w:sz w:val="24"/>
                <w:szCs w:val="24"/>
              </w:rPr>
            </w:pPr>
            <w:r>
              <w:rPr>
                <w:b/>
                <w:color w:val="auto"/>
                <w:sz w:val="24"/>
                <w:szCs w:val="24"/>
              </w:rPr>
              <w:t>2、地表水环境质量现状</w:t>
            </w:r>
          </w:p>
          <w:p w14:paraId="55A9D9BC">
            <w:pPr>
              <w:snapToGrid w:val="0"/>
              <w:ind w:firstLine="480" w:firstLineChars="200"/>
              <w:rPr>
                <w:color w:val="auto"/>
                <w:sz w:val="24"/>
                <w:szCs w:val="24"/>
              </w:rPr>
            </w:pPr>
            <w:r>
              <w:rPr>
                <w:color w:val="auto"/>
                <w:sz w:val="24"/>
                <w:szCs w:val="24"/>
              </w:rPr>
              <w:t>根据《2024年度江阴市生态环境状况公报》，2024年，全市国、省考河流断面水质优Ⅲ比例达到100%，长江三个集中式饮用水源地达标率100%，长江干流江阴段稳定达到Ⅱ类标准，地表水环境质量总体改善。</w:t>
            </w:r>
          </w:p>
          <w:p w14:paraId="7012E88C">
            <w:pPr>
              <w:snapToGrid w:val="0"/>
              <w:ind w:firstLine="480" w:firstLineChars="200"/>
              <w:rPr>
                <w:color w:val="auto"/>
                <w:sz w:val="24"/>
                <w:szCs w:val="24"/>
              </w:rPr>
            </w:pPr>
            <w:r>
              <w:rPr>
                <w:color w:val="auto"/>
                <w:sz w:val="24"/>
                <w:szCs w:val="24"/>
              </w:rPr>
              <w:t>2024年，全市6个国考断面全部达标，优Ⅲ比例100%，同比持平，其中4个断面达到Ⅱ类；全市18个省考断面全部达标，优Ⅲ比例100%，同比持平，其中11个断面达到Ⅱ类。</w:t>
            </w:r>
          </w:p>
          <w:p w14:paraId="2070283D">
            <w:pPr>
              <w:snapToGrid w:val="0"/>
              <w:ind w:firstLine="480" w:firstLineChars="200"/>
              <w:rPr>
                <w:color w:val="auto"/>
                <w:sz w:val="24"/>
                <w:szCs w:val="24"/>
              </w:rPr>
            </w:pPr>
            <w:r>
              <w:rPr>
                <w:color w:val="auto"/>
                <w:sz w:val="24"/>
                <w:szCs w:val="24"/>
              </w:rPr>
              <w:t>2024年，全市饮用水以集中供水为主，以地表水为主要水源，共设3个饮用水源水质监测断面，分别位于长江小湾、肖山湾和西石桥断面。按《地表水环境质量标准》（GB3838-2002）Ⅱ类标准评价，2024年小湾、肖山湾、西石桥饮用水源地水质良好，水质达标率为100%，与2023年持平；109项指标均满足《地表水环境质量标准》（GB3838-2002）中集中式生活饮用水地表水源地水质标准要求。</w:t>
            </w:r>
          </w:p>
          <w:p w14:paraId="09C47CDD">
            <w:pPr>
              <w:snapToGrid w:val="0"/>
              <w:ind w:firstLine="480" w:firstLineChars="200"/>
              <w:rPr>
                <w:color w:val="auto"/>
                <w:sz w:val="24"/>
                <w:szCs w:val="24"/>
              </w:rPr>
            </w:pPr>
            <w:r>
              <w:rPr>
                <w:color w:val="auto"/>
                <w:sz w:val="24"/>
                <w:szCs w:val="24"/>
              </w:rPr>
              <w:t>市域重点河流2024年，全市16条主要河流共设置地表水重点监测断面22个，其中Ⅱ类水质断面13个，Ⅲ类水质断面9个，无Ⅳ类、Ⅴ类和劣Ⅴ类水质断面。与2023年相比，总体水质变好，Ⅱ类断面比例上升4.6个百分点。16条重点河流中，长江、应天河、桃花港、石牌港、申港河、利港河、老夏港河、新夏港河、白屈港、锡澄运河、新沟河等11条河流水质状况为优；东横河、东清河、二干河、青祝运河、张家港河等5条河流水质状况为良好。与2023年相比，2024年全市16条重点河流中，白屈港、锡澄运河、新沟河、新夏港河水质由良好转为优；</w:t>
            </w:r>
          </w:p>
          <w:p w14:paraId="6F55A0DC">
            <w:pPr>
              <w:rPr>
                <w:b/>
                <w:color w:val="auto"/>
                <w:sz w:val="24"/>
                <w:szCs w:val="24"/>
              </w:rPr>
            </w:pPr>
            <w:r>
              <w:rPr>
                <w:b/>
                <w:color w:val="auto"/>
                <w:sz w:val="24"/>
                <w:szCs w:val="24"/>
              </w:rPr>
              <w:t>3、声环境</w:t>
            </w:r>
          </w:p>
          <w:p w14:paraId="430911AE">
            <w:pPr>
              <w:ind w:firstLine="480" w:firstLineChars="200"/>
              <w:rPr>
                <w:color w:val="auto"/>
                <w:sz w:val="24"/>
                <w:szCs w:val="24"/>
              </w:rPr>
            </w:pPr>
            <w:r>
              <w:rPr>
                <w:color w:val="auto"/>
                <w:sz w:val="24"/>
                <w:szCs w:val="24"/>
              </w:rPr>
              <w:t>本项目位于江阴市周庄镇澄杨路1507号，根据市政府办公室关于印发《江阴市声环境功能区划分调整方案》的通知（澄政办发[2020]71号）的规定，项目所在区域声环境功能区划分为《声环境质量标准》(GB3096-2008)2类区，周边50米范围内无敏感目标。</w:t>
            </w:r>
          </w:p>
          <w:p w14:paraId="4DF8207E">
            <w:pPr>
              <w:ind w:firstLine="480" w:firstLineChars="200"/>
              <w:rPr>
                <w:color w:val="auto"/>
                <w:sz w:val="24"/>
                <w:szCs w:val="24"/>
              </w:rPr>
            </w:pPr>
            <w:r>
              <w:rPr>
                <w:color w:val="auto"/>
                <w:sz w:val="24"/>
                <w:szCs w:val="24"/>
              </w:rPr>
              <w:t>根据《2024年度江阴市生态环境状况公报》，2024年，全市昼间和夜间声环境质量基本保持稳定，声环境质量总体较好。</w:t>
            </w:r>
          </w:p>
          <w:p w14:paraId="43036B46">
            <w:pPr>
              <w:pStyle w:val="44"/>
              <w:adjustRightInd w:val="0"/>
              <w:snapToGrid w:val="0"/>
              <w:ind w:left="-300" w:firstLine="723" w:firstLineChars="300"/>
              <w:rPr>
                <w:rStyle w:val="45"/>
                <w:b/>
                <w:bCs/>
                <w:color w:val="auto"/>
                <w:sz w:val="24"/>
                <w:szCs w:val="24"/>
              </w:rPr>
            </w:pPr>
            <w:r>
              <w:rPr>
                <w:b/>
                <w:bCs/>
                <w:color w:val="auto"/>
                <w:sz w:val="24"/>
                <w:szCs w:val="24"/>
              </w:rPr>
              <w:t>4、</w:t>
            </w:r>
            <w:r>
              <w:rPr>
                <w:rStyle w:val="45"/>
                <w:b/>
                <w:bCs/>
                <w:color w:val="auto"/>
                <w:sz w:val="24"/>
                <w:szCs w:val="24"/>
              </w:rPr>
              <w:t>生态环境</w:t>
            </w:r>
          </w:p>
          <w:p w14:paraId="75372CAD">
            <w:pPr>
              <w:ind w:firstLine="480" w:firstLineChars="200"/>
              <w:rPr>
                <w:color w:val="auto"/>
                <w:sz w:val="24"/>
                <w:szCs w:val="24"/>
              </w:rPr>
            </w:pPr>
            <w:r>
              <w:rPr>
                <w:rFonts w:hint="eastAsia"/>
                <w:color w:val="auto"/>
                <w:sz w:val="24"/>
                <w:szCs w:val="24"/>
              </w:rPr>
              <w:t>本项目位于工业园区内，用地范围内无生态环境保护目标，故不进行生态现状调查。</w:t>
            </w:r>
          </w:p>
          <w:p w14:paraId="60B9D74A">
            <w:pPr>
              <w:pStyle w:val="44"/>
              <w:adjustRightInd w:val="0"/>
              <w:snapToGrid w:val="0"/>
              <w:ind w:left="-300" w:firstLine="723" w:firstLineChars="300"/>
              <w:rPr>
                <w:rStyle w:val="45"/>
                <w:b/>
                <w:bCs/>
                <w:color w:val="auto"/>
                <w:sz w:val="24"/>
                <w:szCs w:val="24"/>
              </w:rPr>
            </w:pPr>
            <w:r>
              <w:rPr>
                <w:b/>
                <w:bCs/>
                <w:color w:val="auto"/>
                <w:sz w:val="24"/>
                <w:szCs w:val="24"/>
              </w:rPr>
              <w:t>5、</w:t>
            </w:r>
            <w:r>
              <w:rPr>
                <w:rStyle w:val="45"/>
                <w:b/>
                <w:bCs/>
                <w:color w:val="auto"/>
                <w:sz w:val="24"/>
                <w:szCs w:val="24"/>
              </w:rPr>
              <w:t>电磁辐射</w:t>
            </w:r>
          </w:p>
          <w:p w14:paraId="54852832">
            <w:pPr>
              <w:adjustRightInd w:val="0"/>
              <w:snapToGrid w:val="0"/>
              <w:ind w:firstLine="480" w:firstLineChars="200"/>
              <w:rPr>
                <w:color w:val="auto"/>
                <w:sz w:val="24"/>
                <w:szCs w:val="24"/>
              </w:rPr>
            </w:pPr>
            <w:r>
              <w:rPr>
                <w:color w:val="auto"/>
                <w:sz w:val="24"/>
                <w:szCs w:val="24"/>
              </w:rPr>
              <w:t>本项目不涉及放射性同位素和伴有电磁辐射的设施的使用，故不开展电磁辐射现状监测和评价。</w:t>
            </w:r>
          </w:p>
          <w:p w14:paraId="1363D8BD">
            <w:pPr>
              <w:pStyle w:val="44"/>
              <w:adjustRightInd w:val="0"/>
              <w:snapToGrid w:val="0"/>
              <w:ind w:left="-300" w:firstLine="723" w:firstLineChars="300"/>
              <w:rPr>
                <w:rStyle w:val="45"/>
                <w:b/>
                <w:bCs/>
                <w:color w:val="auto"/>
                <w:sz w:val="24"/>
                <w:szCs w:val="24"/>
              </w:rPr>
            </w:pPr>
            <w:r>
              <w:rPr>
                <w:b/>
                <w:bCs/>
                <w:color w:val="auto"/>
                <w:sz w:val="24"/>
                <w:szCs w:val="24"/>
              </w:rPr>
              <w:t>6、</w:t>
            </w:r>
            <w:r>
              <w:rPr>
                <w:rStyle w:val="45"/>
                <w:b/>
                <w:bCs/>
                <w:color w:val="auto"/>
                <w:sz w:val="24"/>
                <w:szCs w:val="24"/>
              </w:rPr>
              <w:t>地下水、土壤环境</w:t>
            </w:r>
          </w:p>
          <w:p w14:paraId="787E8494">
            <w:pPr>
              <w:adjustRightInd w:val="0"/>
              <w:snapToGrid w:val="0"/>
              <w:ind w:firstLine="480" w:firstLineChars="200"/>
              <w:rPr>
                <w:color w:val="auto"/>
              </w:rPr>
            </w:pPr>
            <w:r>
              <w:rPr>
                <w:color w:val="auto"/>
                <w:sz w:val="24"/>
                <w:szCs w:val="24"/>
              </w:rPr>
              <w:t>厂区内已采取相应防控措施，正常运营情况下不存在地下水、土壤环境污染途径，可不开展地下水、土壤环境质量现状调查。</w:t>
            </w:r>
          </w:p>
        </w:tc>
      </w:tr>
      <w:tr w14:paraId="2912DB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44" w:hRule="atLeast"/>
          <w:jc w:val="center"/>
        </w:trPr>
        <w:tc>
          <w:tcPr>
            <w:tcW w:w="716" w:type="dxa"/>
            <w:vAlign w:val="center"/>
          </w:tcPr>
          <w:p w14:paraId="2B09FFF4">
            <w:pPr>
              <w:adjustRightInd w:val="0"/>
              <w:snapToGrid w:val="0"/>
              <w:jc w:val="center"/>
              <w:rPr>
                <w:color w:val="auto"/>
                <w:kern w:val="0"/>
              </w:rPr>
            </w:pPr>
            <w:r>
              <w:rPr>
                <w:color w:val="auto"/>
                <w:kern w:val="0"/>
              </w:rPr>
              <w:t>环境</w:t>
            </w:r>
          </w:p>
          <w:p w14:paraId="39ACFBB9">
            <w:pPr>
              <w:adjustRightInd w:val="0"/>
              <w:snapToGrid w:val="0"/>
              <w:jc w:val="center"/>
              <w:rPr>
                <w:color w:val="auto"/>
                <w:kern w:val="0"/>
              </w:rPr>
            </w:pPr>
            <w:r>
              <w:rPr>
                <w:color w:val="auto"/>
                <w:kern w:val="0"/>
              </w:rPr>
              <w:t>保护</w:t>
            </w:r>
          </w:p>
          <w:p w14:paraId="3C41B802">
            <w:pPr>
              <w:adjustRightInd w:val="0"/>
              <w:snapToGrid w:val="0"/>
              <w:jc w:val="center"/>
              <w:rPr>
                <w:color w:val="auto"/>
                <w:kern w:val="0"/>
              </w:rPr>
            </w:pPr>
            <w:r>
              <w:rPr>
                <w:color w:val="auto"/>
                <w:kern w:val="0"/>
              </w:rPr>
              <w:t>目标</w:t>
            </w:r>
          </w:p>
        </w:tc>
        <w:tc>
          <w:tcPr>
            <w:tcW w:w="8130" w:type="dxa"/>
          </w:tcPr>
          <w:p w14:paraId="403CE95C">
            <w:pPr>
              <w:rPr>
                <w:b/>
                <w:bCs/>
                <w:color w:val="auto"/>
                <w:sz w:val="24"/>
                <w:szCs w:val="24"/>
              </w:rPr>
            </w:pPr>
            <w:r>
              <w:rPr>
                <w:b/>
                <w:bCs/>
                <w:color w:val="auto"/>
                <w:sz w:val="24"/>
                <w:szCs w:val="24"/>
              </w:rPr>
              <w:t>1、环境保护目标</w:t>
            </w:r>
          </w:p>
          <w:p w14:paraId="7BD156F2">
            <w:pPr>
              <w:ind w:firstLine="480"/>
              <w:rPr>
                <w:color w:val="auto"/>
                <w:sz w:val="24"/>
                <w:szCs w:val="24"/>
              </w:rPr>
            </w:pPr>
            <w:r>
              <w:rPr>
                <w:color w:val="auto"/>
                <w:sz w:val="24"/>
                <w:szCs w:val="24"/>
              </w:rPr>
              <w:t>（1）大气环境：本报告列出周边500m范围内环境保护目标。</w:t>
            </w:r>
          </w:p>
          <w:p w14:paraId="04C3028A">
            <w:pPr>
              <w:ind w:firstLine="480"/>
              <w:rPr>
                <w:color w:val="auto"/>
                <w:sz w:val="24"/>
                <w:szCs w:val="24"/>
              </w:rPr>
            </w:pPr>
            <w:r>
              <w:rPr>
                <w:color w:val="auto"/>
                <w:sz w:val="24"/>
                <w:szCs w:val="24"/>
              </w:rPr>
              <w:t>（2）声环境：本项目厂界50m范围内无声环境保护目标。</w:t>
            </w:r>
          </w:p>
          <w:p w14:paraId="6C10C002">
            <w:pPr>
              <w:spacing w:line="360" w:lineRule="auto"/>
              <w:ind w:firstLine="480" w:firstLineChars="200"/>
              <w:rPr>
                <w:rFonts w:ascii="宋体" w:hAnsi="宋体"/>
                <w:snapToGrid w:val="0"/>
                <w:color w:val="auto"/>
                <w:kern w:val="0"/>
                <w:sz w:val="24"/>
                <w:szCs w:val="24"/>
              </w:rPr>
            </w:pPr>
            <w:r>
              <w:rPr>
                <w:color w:val="auto"/>
                <w:sz w:val="24"/>
                <w:szCs w:val="24"/>
              </w:rPr>
              <w:t>（3）地下水</w:t>
            </w:r>
            <w:r>
              <w:rPr>
                <w:rFonts w:hint="eastAsia"/>
                <w:color w:val="auto"/>
                <w:sz w:val="24"/>
                <w:szCs w:val="24"/>
                <w:lang w:eastAsia="zh-CN"/>
              </w:rPr>
              <w:t>、</w:t>
            </w:r>
            <w:r>
              <w:rPr>
                <w:rFonts w:hint="eastAsia"/>
                <w:color w:val="auto"/>
                <w:sz w:val="24"/>
                <w:szCs w:val="24"/>
                <w:lang w:val="en-US" w:eastAsia="zh-CN"/>
              </w:rPr>
              <w:t>土壤</w:t>
            </w:r>
            <w:r>
              <w:rPr>
                <w:color w:val="auto"/>
                <w:sz w:val="24"/>
                <w:szCs w:val="24"/>
              </w:rPr>
              <w:t>环境：</w:t>
            </w:r>
            <w:r>
              <w:rPr>
                <w:rFonts w:hint="eastAsia" w:ascii="宋体" w:hAnsi="宋体"/>
                <w:color w:val="auto"/>
                <w:sz w:val="24"/>
                <w:szCs w:val="24"/>
              </w:rPr>
              <w:t>本</w:t>
            </w:r>
            <w:r>
              <w:rPr>
                <w:rFonts w:ascii="宋体" w:hAnsi="宋体"/>
                <w:color w:val="auto"/>
                <w:sz w:val="24"/>
                <w:szCs w:val="24"/>
              </w:rPr>
              <w:t>项目</w:t>
            </w:r>
            <w:r>
              <w:rPr>
                <w:rFonts w:hint="eastAsia" w:ascii="宋体" w:hAnsi="宋体"/>
                <w:snapToGrid w:val="0"/>
                <w:color w:val="auto"/>
                <w:kern w:val="0"/>
                <w:sz w:val="24"/>
                <w:szCs w:val="24"/>
              </w:rPr>
              <w:t>厂界外</w:t>
            </w:r>
            <w:r>
              <w:rPr>
                <w:snapToGrid w:val="0"/>
                <w:color w:val="auto"/>
                <w:kern w:val="0"/>
                <w:sz w:val="24"/>
                <w:szCs w:val="24"/>
              </w:rPr>
              <w:t>500</w:t>
            </w:r>
            <w:r>
              <w:rPr>
                <w:rFonts w:hint="eastAsia" w:ascii="宋体" w:hAnsi="宋体"/>
                <w:snapToGrid w:val="0"/>
                <w:color w:val="auto"/>
                <w:kern w:val="0"/>
                <w:sz w:val="24"/>
                <w:szCs w:val="24"/>
              </w:rPr>
              <w:t>米范围内无地下水集中式饮用水水源、热水、矿泉水、温泉等特殊地下水资源。</w:t>
            </w:r>
            <w:r>
              <w:rPr>
                <w:rFonts w:hint="eastAsia" w:ascii="宋体" w:hAnsi="宋体"/>
                <w:color w:val="auto"/>
                <w:sz w:val="24"/>
                <w:szCs w:val="24"/>
              </w:rPr>
              <w:t>本</w:t>
            </w:r>
            <w:r>
              <w:rPr>
                <w:rFonts w:ascii="宋体" w:hAnsi="宋体"/>
                <w:color w:val="auto"/>
                <w:sz w:val="24"/>
                <w:szCs w:val="24"/>
              </w:rPr>
              <w:t>项目</w:t>
            </w:r>
            <w:r>
              <w:rPr>
                <w:rFonts w:hint="eastAsia" w:ascii="宋体" w:hAnsi="宋体"/>
                <w:snapToGrid w:val="0"/>
                <w:color w:val="auto"/>
                <w:kern w:val="0"/>
                <w:sz w:val="24"/>
                <w:szCs w:val="24"/>
              </w:rPr>
              <w:t>厂界外</w:t>
            </w:r>
            <w:r>
              <w:rPr>
                <w:rFonts w:hint="eastAsia"/>
                <w:snapToGrid w:val="0"/>
                <w:color w:val="auto"/>
                <w:kern w:val="0"/>
                <w:sz w:val="24"/>
                <w:szCs w:val="24"/>
                <w:lang w:val="en-US" w:eastAsia="zh-CN"/>
              </w:rPr>
              <w:t>2</w:t>
            </w:r>
            <w:r>
              <w:rPr>
                <w:snapToGrid w:val="0"/>
                <w:color w:val="auto"/>
                <w:kern w:val="0"/>
                <w:sz w:val="24"/>
                <w:szCs w:val="24"/>
              </w:rPr>
              <w:t>00</w:t>
            </w:r>
            <w:r>
              <w:rPr>
                <w:rFonts w:hint="eastAsia" w:ascii="宋体" w:hAnsi="宋体"/>
                <w:snapToGrid w:val="0"/>
                <w:color w:val="auto"/>
                <w:kern w:val="0"/>
                <w:sz w:val="24"/>
                <w:szCs w:val="24"/>
              </w:rPr>
              <w:t>米范围内无耕地、园地、牧草地、饮用水水源地或居民区、学校、医院、疗养院、养老院等土壤环境敏感目标</w:t>
            </w:r>
            <w:r>
              <w:rPr>
                <w:rFonts w:hint="eastAsia" w:ascii="宋体" w:hAnsi="宋体"/>
                <w:snapToGrid w:val="0"/>
                <w:color w:val="auto"/>
                <w:kern w:val="0"/>
                <w:sz w:val="24"/>
                <w:szCs w:val="24"/>
                <w:lang w:eastAsia="zh-CN"/>
              </w:rPr>
              <w:t>。</w:t>
            </w:r>
          </w:p>
          <w:p w14:paraId="1C585755">
            <w:pPr>
              <w:ind w:firstLine="480"/>
              <w:rPr>
                <w:color w:val="auto"/>
                <w:sz w:val="24"/>
                <w:szCs w:val="24"/>
              </w:rPr>
            </w:pPr>
            <w:r>
              <w:rPr>
                <w:color w:val="auto"/>
                <w:sz w:val="24"/>
                <w:szCs w:val="24"/>
              </w:rPr>
              <w:t>（4）生态环境：本项目不属于产业园区外新增用地的，不涉及生态环境保护目标。</w:t>
            </w:r>
          </w:p>
          <w:p w14:paraId="51A459B8">
            <w:pPr>
              <w:pStyle w:val="13"/>
              <w:ind w:left="0" w:leftChars="0" w:right="1470"/>
              <w:rPr>
                <w:color w:val="auto"/>
              </w:rPr>
            </w:pPr>
          </w:p>
        </w:tc>
      </w:tr>
      <w:tr w14:paraId="08A5C5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78" w:hRule="atLeast"/>
          <w:jc w:val="center"/>
        </w:trPr>
        <w:tc>
          <w:tcPr>
            <w:tcW w:w="716" w:type="dxa"/>
            <w:vAlign w:val="center"/>
          </w:tcPr>
          <w:p w14:paraId="5382B25F">
            <w:pPr>
              <w:adjustRightInd w:val="0"/>
              <w:snapToGrid w:val="0"/>
              <w:spacing w:line="240" w:lineRule="auto"/>
              <w:jc w:val="center"/>
              <w:rPr>
                <w:color w:val="auto"/>
                <w:kern w:val="0"/>
              </w:rPr>
            </w:pPr>
            <w:r>
              <w:rPr>
                <w:color w:val="auto"/>
                <w:kern w:val="0"/>
              </w:rPr>
              <w:t>污染</w:t>
            </w:r>
          </w:p>
          <w:p w14:paraId="5801D2A2">
            <w:pPr>
              <w:adjustRightInd w:val="0"/>
              <w:snapToGrid w:val="0"/>
              <w:spacing w:line="240" w:lineRule="auto"/>
              <w:jc w:val="center"/>
              <w:rPr>
                <w:color w:val="auto"/>
                <w:kern w:val="0"/>
              </w:rPr>
            </w:pPr>
            <w:r>
              <w:rPr>
                <w:color w:val="auto"/>
                <w:kern w:val="0"/>
              </w:rPr>
              <w:t>物排</w:t>
            </w:r>
          </w:p>
          <w:p w14:paraId="58FA6ECF">
            <w:pPr>
              <w:adjustRightInd w:val="0"/>
              <w:snapToGrid w:val="0"/>
              <w:spacing w:line="240" w:lineRule="auto"/>
              <w:jc w:val="center"/>
              <w:rPr>
                <w:color w:val="auto"/>
                <w:kern w:val="0"/>
              </w:rPr>
            </w:pPr>
            <w:r>
              <w:rPr>
                <w:color w:val="auto"/>
                <w:kern w:val="0"/>
              </w:rPr>
              <w:t>放控</w:t>
            </w:r>
          </w:p>
          <w:p w14:paraId="1A79F2DD">
            <w:pPr>
              <w:adjustRightInd w:val="0"/>
              <w:snapToGrid w:val="0"/>
              <w:spacing w:line="240" w:lineRule="auto"/>
              <w:jc w:val="center"/>
              <w:rPr>
                <w:color w:val="auto"/>
                <w:kern w:val="0"/>
              </w:rPr>
            </w:pPr>
            <w:r>
              <w:rPr>
                <w:color w:val="auto"/>
                <w:kern w:val="0"/>
              </w:rPr>
              <w:t>制标</w:t>
            </w:r>
          </w:p>
          <w:p w14:paraId="5366BED5">
            <w:pPr>
              <w:adjustRightInd w:val="0"/>
              <w:snapToGrid w:val="0"/>
              <w:jc w:val="center"/>
              <w:rPr>
                <w:color w:val="auto"/>
                <w:kern w:val="0"/>
              </w:rPr>
            </w:pPr>
            <w:r>
              <w:rPr>
                <w:color w:val="auto"/>
                <w:kern w:val="0"/>
              </w:rPr>
              <w:t>准</w:t>
            </w:r>
          </w:p>
        </w:tc>
        <w:tc>
          <w:tcPr>
            <w:tcW w:w="8130" w:type="dxa"/>
            <w:vAlign w:val="center"/>
          </w:tcPr>
          <w:p w14:paraId="27B3D436">
            <w:pPr>
              <w:kinsoku w:val="0"/>
              <w:overflowPunct w:val="0"/>
              <w:autoSpaceDE w:val="0"/>
              <w:autoSpaceDN w:val="0"/>
              <w:adjustRightInd w:val="0"/>
              <w:snapToGrid w:val="0"/>
              <w:rPr>
                <w:b/>
                <w:bCs/>
                <w:color w:val="auto"/>
                <w:sz w:val="24"/>
                <w:szCs w:val="24"/>
              </w:rPr>
            </w:pPr>
            <w:r>
              <w:rPr>
                <w:b/>
                <w:bCs/>
                <w:color w:val="auto"/>
                <w:sz w:val="24"/>
                <w:szCs w:val="24"/>
              </w:rPr>
              <w:t>1、废气</w:t>
            </w:r>
          </w:p>
          <w:p w14:paraId="38E0E57F">
            <w:pPr>
              <w:ind w:firstLine="480"/>
              <w:rPr>
                <w:color w:val="auto"/>
                <w:sz w:val="24"/>
                <w:szCs w:val="24"/>
              </w:rPr>
            </w:pPr>
            <w:r>
              <w:rPr>
                <w:color w:val="auto"/>
                <w:sz w:val="24"/>
                <w:szCs w:val="24"/>
              </w:rPr>
              <w:t>本项目产生的废气主要为数码印花及烘干废气、热转移印花废气（污染因子为非甲烷总烃、臭气浓度），非甲烷总烃执行《大气污染物综合排放标准》（DB32/4041-2021）中的表1、表2、表3相关标准，臭气浓度执行《恶臭污染物排放标准》（GB14554-93）中的表1、表2相关标准，具体见表3-</w:t>
            </w:r>
            <w:r>
              <w:rPr>
                <w:rFonts w:hint="eastAsia"/>
                <w:color w:val="auto"/>
                <w:sz w:val="24"/>
                <w:szCs w:val="24"/>
                <w:lang w:val="en-US" w:eastAsia="zh-CN"/>
              </w:rPr>
              <w:t>5</w:t>
            </w:r>
            <w:r>
              <w:rPr>
                <w:color w:val="auto"/>
                <w:sz w:val="24"/>
                <w:szCs w:val="24"/>
              </w:rPr>
              <w:t>、表3-</w:t>
            </w:r>
            <w:r>
              <w:rPr>
                <w:rFonts w:hint="eastAsia"/>
                <w:color w:val="auto"/>
                <w:sz w:val="24"/>
                <w:szCs w:val="24"/>
                <w:lang w:val="en-US" w:eastAsia="zh-CN"/>
              </w:rPr>
              <w:t>6</w:t>
            </w:r>
            <w:r>
              <w:rPr>
                <w:color w:val="auto"/>
                <w:sz w:val="24"/>
                <w:szCs w:val="24"/>
              </w:rPr>
              <w:t>及表3-</w:t>
            </w:r>
            <w:r>
              <w:rPr>
                <w:rFonts w:hint="eastAsia"/>
                <w:color w:val="auto"/>
                <w:sz w:val="24"/>
                <w:szCs w:val="24"/>
                <w:lang w:val="en-US" w:eastAsia="zh-CN"/>
              </w:rPr>
              <w:t>7</w:t>
            </w:r>
            <w:r>
              <w:rPr>
                <w:color w:val="auto"/>
                <w:sz w:val="24"/>
                <w:szCs w:val="24"/>
              </w:rPr>
              <w:t>。</w:t>
            </w:r>
          </w:p>
          <w:p w14:paraId="26D116B9">
            <w:pPr>
              <w:ind w:firstLine="480"/>
              <w:jc w:val="center"/>
              <w:rPr>
                <w:b/>
                <w:bCs/>
                <w:color w:val="auto"/>
                <w:sz w:val="24"/>
                <w:szCs w:val="24"/>
              </w:rPr>
            </w:pPr>
            <w:r>
              <w:rPr>
                <w:rFonts w:hint="eastAsia"/>
                <w:b/>
                <w:bCs/>
                <w:color w:val="auto"/>
                <w:sz w:val="24"/>
                <w:szCs w:val="24"/>
              </w:rPr>
              <w:t>表3-</w:t>
            </w:r>
            <w:r>
              <w:rPr>
                <w:rFonts w:hint="eastAsia"/>
                <w:b/>
                <w:bCs/>
                <w:color w:val="auto"/>
                <w:sz w:val="24"/>
                <w:szCs w:val="24"/>
                <w:lang w:val="en-US" w:eastAsia="zh-CN"/>
              </w:rPr>
              <w:t>5</w:t>
            </w:r>
            <w:r>
              <w:rPr>
                <w:rFonts w:hint="eastAsia"/>
                <w:b/>
                <w:bCs/>
                <w:color w:val="auto"/>
                <w:sz w:val="24"/>
                <w:szCs w:val="24"/>
              </w:rPr>
              <w:t>有组织废气排放标准限值表</w:t>
            </w:r>
          </w:p>
          <w:tbl>
            <w:tblPr>
              <w:tblStyle w:val="2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autofit"/>
              <w:tblCellMar>
                <w:top w:w="0" w:type="dxa"/>
                <w:left w:w="28" w:type="dxa"/>
                <w:bottom w:w="0" w:type="dxa"/>
                <w:right w:w="28" w:type="dxa"/>
              </w:tblCellMar>
            </w:tblPr>
            <w:tblGrid>
              <w:gridCol w:w="948"/>
              <w:gridCol w:w="1266"/>
              <w:gridCol w:w="1120"/>
              <w:gridCol w:w="1591"/>
              <w:gridCol w:w="992"/>
              <w:gridCol w:w="1994"/>
            </w:tblGrid>
            <w:tr w14:paraId="2C4811F6">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511" w:hRule="atLeast"/>
                <w:jc w:val="center"/>
              </w:trPr>
              <w:tc>
                <w:tcPr>
                  <w:tcW w:w="599" w:type="pct"/>
                  <w:tcBorders>
                    <w:tl2br w:val="nil"/>
                    <w:tr2bl w:val="nil"/>
                  </w:tcBorders>
                  <w:tcMar>
                    <w:left w:w="28" w:type="dxa"/>
                    <w:right w:w="28" w:type="dxa"/>
                  </w:tcMar>
                  <w:vAlign w:val="center"/>
                </w:tcPr>
                <w:p w14:paraId="3E618C07">
                  <w:pPr>
                    <w:pStyle w:val="41"/>
                    <w:rPr>
                      <w:color w:val="auto"/>
                    </w:rPr>
                  </w:pPr>
                  <w:r>
                    <w:rPr>
                      <w:color w:val="auto"/>
                    </w:rPr>
                    <w:t>排气筒编号</w:t>
                  </w:r>
                </w:p>
              </w:tc>
              <w:tc>
                <w:tcPr>
                  <w:tcW w:w="800" w:type="pct"/>
                  <w:tcBorders>
                    <w:tl2br w:val="nil"/>
                    <w:tr2bl w:val="nil"/>
                  </w:tcBorders>
                  <w:tcMar>
                    <w:left w:w="28" w:type="dxa"/>
                    <w:right w:w="28" w:type="dxa"/>
                  </w:tcMar>
                  <w:vAlign w:val="center"/>
                </w:tcPr>
                <w:p w14:paraId="3F45B3B2">
                  <w:pPr>
                    <w:pStyle w:val="41"/>
                    <w:rPr>
                      <w:color w:val="auto"/>
                    </w:rPr>
                  </w:pPr>
                  <w:r>
                    <w:rPr>
                      <w:rFonts w:hint="eastAsia"/>
                      <w:color w:val="auto"/>
                    </w:rPr>
                    <w:t>涉及的生产工艺</w:t>
                  </w:r>
                </w:p>
              </w:tc>
              <w:tc>
                <w:tcPr>
                  <w:tcW w:w="708" w:type="pct"/>
                  <w:tcBorders>
                    <w:tl2br w:val="nil"/>
                    <w:tr2bl w:val="nil"/>
                  </w:tcBorders>
                  <w:tcMar>
                    <w:left w:w="28" w:type="dxa"/>
                    <w:right w:w="28" w:type="dxa"/>
                  </w:tcMar>
                  <w:vAlign w:val="center"/>
                </w:tcPr>
                <w:p w14:paraId="700B949E">
                  <w:pPr>
                    <w:pStyle w:val="41"/>
                    <w:rPr>
                      <w:color w:val="auto"/>
                    </w:rPr>
                  </w:pPr>
                  <w:r>
                    <w:rPr>
                      <w:color w:val="auto"/>
                    </w:rPr>
                    <w:t>污染物名称</w:t>
                  </w:r>
                </w:p>
              </w:tc>
              <w:tc>
                <w:tcPr>
                  <w:tcW w:w="1005" w:type="pct"/>
                  <w:tcBorders>
                    <w:tl2br w:val="nil"/>
                    <w:tr2bl w:val="nil"/>
                  </w:tcBorders>
                  <w:tcMar>
                    <w:left w:w="28" w:type="dxa"/>
                    <w:right w:w="28" w:type="dxa"/>
                  </w:tcMar>
                  <w:vAlign w:val="center"/>
                </w:tcPr>
                <w:p w14:paraId="07517341">
                  <w:pPr>
                    <w:pStyle w:val="41"/>
                    <w:rPr>
                      <w:color w:val="auto"/>
                    </w:rPr>
                  </w:pPr>
                  <w:r>
                    <w:rPr>
                      <w:color w:val="auto"/>
                    </w:rPr>
                    <w:t>最高允许排放浓度(mg/m</w:t>
                  </w:r>
                  <w:r>
                    <w:rPr>
                      <w:color w:val="auto"/>
                      <w:vertAlign w:val="superscript"/>
                    </w:rPr>
                    <w:t>3</w:t>
                  </w:r>
                  <w:r>
                    <w:rPr>
                      <w:color w:val="auto"/>
                    </w:rPr>
                    <w:t>)</w:t>
                  </w:r>
                </w:p>
              </w:tc>
              <w:tc>
                <w:tcPr>
                  <w:tcW w:w="627" w:type="pct"/>
                  <w:tcBorders>
                    <w:tl2br w:val="nil"/>
                    <w:tr2bl w:val="nil"/>
                  </w:tcBorders>
                  <w:tcMar>
                    <w:left w:w="28" w:type="dxa"/>
                    <w:right w:w="28" w:type="dxa"/>
                  </w:tcMar>
                  <w:vAlign w:val="center"/>
                </w:tcPr>
                <w:p w14:paraId="5ABF2FD8">
                  <w:pPr>
                    <w:pStyle w:val="41"/>
                    <w:rPr>
                      <w:color w:val="auto"/>
                    </w:rPr>
                  </w:pPr>
                  <w:r>
                    <w:rPr>
                      <w:color w:val="auto"/>
                    </w:rPr>
                    <w:t>排放速率(kg/h)</w:t>
                  </w:r>
                </w:p>
              </w:tc>
              <w:tc>
                <w:tcPr>
                  <w:tcW w:w="1260" w:type="pct"/>
                  <w:tcBorders>
                    <w:tl2br w:val="nil"/>
                    <w:tr2bl w:val="nil"/>
                  </w:tcBorders>
                  <w:tcMar>
                    <w:left w:w="28" w:type="dxa"/>
                    <w:right w:w="28" w:type="dxa"/>
                  </w:tcMar>
                  <w:vAlign w:val="center"/>
                </w:tcPr>
                <w:p w14:paraId="739B6A40">
                  <w:pPr>
                    <w:pStyle w:val="41"/>
                    <w:rPr>
                      <w:color w:val="auto"/>
                    </w:rPr>
                  </w:pPr>
                  <w:r>
                    <w:rPr>
                      <w:color w:val="auto"/>
                    </w:rPr>
                    <w:t>排放标准</w:t>
                  </w:r>
                </w:p>
              </w:tc>
            </w:tr>
            <w:tr w14:paraId="7120FFF0">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599" w:type="pct"/>
                  <w:vMerge w:val="restart"/>
                  <w:tcBorders>
                    <w:tl2br w:val="nil"/>
                    <w:tr2bl w:val="nil"/>
                  </w:tcBorders>
                  <w:tcMar>
                    <w:left w:w="28" w:type="dxa"/>
                    <w:right w:w="28" w:type="dxa"/>
                  </w:tcMar>
                  <w:vAlign w:val="center"/>
                </w:tcPr>
                <w:p w14:paraId="63E5D5D1">
                  <w:pPr>
                    <w:pStyle w:val="41"/>
                    <w:rPr>
                      <w:color w:val="auto"/>
                    </w:rPr>
                  </w:pPr>
                  <w:r>
                    <w:rPr>
                      <w:color w:val="auto"/>
                    </w:rPr>
                    <w:t>FQ-1</w:t>
                  </w:r>
                </w:p>
              </w:tc>
              <w:tc>
                <w:tcPr>
                  <w:tcW w:w="800" w:type="pct"/>
                  <w:vMerge w:val="restart"/>
                  <w:tcBorders>
                    <w:tl2br w:val="nil"/>
                    <w:tr2bl w:val="nil"/>
                  </w:tcBorders>
                  <w:tcMar>
                    <w:left w:w="28" w:type="dxa"/>
                    <w:right w:w="28" w:type="dxa"/>
                  </w:tcMar>
                  <w:vAlign w:val="center"/>
                </w:tcPr>
                <w:p w14:paraId="0348AFC3">
                  <w:pPr>
                    <w:pStyle w:val="41"/>
                    <w:rPr>
                      <w:color w:val="auto"/>
                    </w:rPr>
                  </w:pPr>
                  <w:r>
                    <w:rPr>
                      <w:rFonts w:hint="eastAsia"/>
                      <w:color w:val="auto"/>
                    </w:rPr>
                    <w:t>数码印花及烘干、热转移印花</w:t>
                  </w:r>
                </w:p>
              </w:tc>
              <w:tc>
                <w:tcPr>
                  <w:tcW w:w="708" w:type="pct"/>
                  <w:tcBorders>
                    <w:tl2br w:val="nil"/>
                    <w:tr2bl w:val="nil"/>
                  </w:tcBorders>
                  <w:tcMar>
                    <w:left w:w="28" w:type="dxa"/>
                    <w:right w:w="28" w:type="dxa"/>
                  </w:tcMar>
                  <w:vAlign w:val="center"/>
                </w:tcPr>
                <w:p w14:paraId="168B707C">
                  <w:pPr>
                    <w:pStyle w:val="41"/>
                    <w:rPr>
                      <w:color w:val="auto"/>
                    </w:rPr>
                  </w:pPr>
                  <w:r>
                    <w:rPr>
                      <w:color w:val="auto"/>
                    </w:rPr>
                    <w:t>非甲烷总烃</w:t>
                  </w:r>
                </w:p>
              </w:tc>
              <w:tc>
                <w:tcPr>
                  <w:tcW w:w="1005" w:type="pct"/>
                  <w:tcBorders>
                    <w:tl2br w:val="nil"/>
                    <w:tr2bl w:val="nil"/>
                  </w:tcBorders>
                  <w:tcMar>
                    <w:left w:w="28" w:type="dxa"/>
                    <w:right w:w="28" w:type="dxa"/>
                  </w:tcMar>
                  <w:vAlign w:val="center"/>
                </w:tcPr>
                <w:p w14:paraId="7E66F1B4">
                  <w:pPr>
                    <w:pStyle w:val="41"/>
                    <w:rPr>
                      <w:color w:val="auto"/>
                    </w:rPr>
                  </w:pPr>
                  <w:r>
                    <w:rPr>
                      <w:color w:val="auto"/>
                    </w:rPr>
                    <w:t>60</w:t>
                  </w:r>
                </w:p>
              </w:tc>
              <w:tc>
                <w:tcPr>
                  <w:tcW w:w="627" w:type="pct"/>
                  <w:tcBorders>
                    <w:tl2br w:val="nil"/>
                    <w:tr2bl w:val="nil"/>
                  </w:tcBorders>
                  <w:tcMar>
                    <w:left w:w="28" w:type="dxa"/>
                    <w:right w:w="28" w:type="dxa"/>
                  </w:tcMar>
                  <w:vAlign w:val="center"/>
                </w:tcPr>
                <w:p w14:paraId="4E53811F">
                  <w:pPr>
                    <w:pStyle w:val="41"/>
                    <w:rPr>
                      <w:color w:val="auto"/>
                    </w:rPr>
                  </w:pPr>
                  <w:r>
                    <w:rPr>
                      <w:color w:val="auto"/>
                    </w:rPr>
                    <w:t>3</w:t>
                  </w:r>
                </w:p>
              </w:tc>
              <w:tc>
                <w:tcPr>
                  <w:tcW w:w="1260" w:type="pct"/>
                  <w:tcBorders>
                    <w:tl2br w:val="nil"/>
                    <w:tr2bl w:val="nil"/>
                  </w:tcBorders>
                  <w:tcMar>
                    <w:left w:w="28" w:type="dxa"/>
                    <w:right w:w="28" w:type="dxa"/>
                  </w:tcMar>
                  <w:vAlign w:val="center"/>
                </w:tcPr>
                <w:p w14:paraId="748D707A">
                  <w:pPr>
                    <w:pStyle w:val="41"/>
                    <w:rPr>
                      <w:color w:val="auto"/>
                    </w:rPr>
                  </w:pPr>
                  <w:r>
                    <w:rPr>
                      <w:color w:val="auto"/>
                    </w:rPr>
                    <w:t>DB32/4041-2021表1标准</w:t>
                  </w:r>
                </w:p>
              </w:tc>
            </w:tr>
            <w:tr w14:paraId="032F18B0">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599" w:type="pct"/>
                  <w:vMerge w:val="continue"/>
                  <w:tcBorders>
                    <w:tl2br w:val="nil"/>
                    <w:tr2bl w:val="nil"/>
                  </w:tcBorders>
                  <w:tcMar>
                    <w:left w:w="28" w:type="dxa"/>
                    <w:right w:w="28" w:type="dxa"/>
                  </w:tcMar>
                  <w:vAlign w:val="center"/>
                </w:tcPr>
                <w:p w14:paraId="1A0791B3">
                  <w:pPr>
                    <w:pStyle w:val="41"/>
                    <w:rPr>
                      <w:color w:val="auto"/>
                    </w:rPr>
                  </w:pPr>
                </w:p>
              </w:tc>
              <w:tc>
                <w:tcPr>
                  <w:tcW w:w="800" w:type="pct"/>
                  <w:vMerge w:val="continue"/>
                  <w:tcBorders>
                    <w:tl2br w:val="nil"/>
                    <w:tr2bl w:val="nil"/>
                  </w:tcBorders>
                  <w:tcMar>
                    <w:left w:w="28" w:type="dxa"/>
                    <w:right w:w="28" w:type="dxa"/>
                  </w:tcMar>
                  <w:vAlign w:val="center"/>
                </w:tcPr>
                <w:p w14:paraId="2F6D4F14">
                  <w:pPr>
                    <w:pStyle w:val="41"/>
                    <w:rPr>
                      <w:color w:val="auto"/>
                    </w:rPr>
                  </w:pPr>
                </w:p>
              </w:tc>
              <w:tc>
                <w:tcPr>
                  <w:tcW w:w="708" w:type="pct"/>
                  <w:tcBorders>
                    <w:tl2br w:val="nil"/>
                    <w:tr2bl w:val="nil"/>
                  </w:tcBorders>
                  <w:tcMar>
                    <w:left w:w="28" w:type="dxa"/>
                    <w:right w:w="28" w:type="dxa"/>
                  </w:tcMar>
                  <w:vAlign w:val="center"/>
                </w:tcPr>
                <w:p w14:paraId="0F7F7DF2">
                  <w:pPr>
                    <w:pStyle w:val="41"/>
                    <w:rPr>
                      <w:color w:val="auto"/>
                    </w:rPr>
                  </w:pPr>
                  <w:r>
                    <w:rPr>
                      <w:rFonts w:hint="eastAsia"/>
                      <w:color w:val="auto"/>
                    </w:rPr>
                    <w:t>臭气浓度</w:t>
                  </w:r>
                </w:p>
              </w:tc>
              <w:tc>
                <w:tcPr>
                  <w:tcW w:w="1005" w:type="pct"/>
                  <w:tcBorders>
                    <w:tl2br w:val="nil"/>
                    <w:tr2bl w:val="nil"/>
                  </w:tcBorders>
                  <w:tcMar>
                    <w:left w:w="28" w:type="dxa"/>
                    <w:right w:w="28" w:type="dxa"/>
                  </w:tcMar>
                  <w:vAlign w:val="center"/>
                </w:tcPr>
                <w:p w14:paraId="290F71ED">
                  <w:pPr>
                    <w:pStyle w:val="41"/>
                    <w:rPr>
                      <w:color w:val="auto"/>
                    </w:rPr>
                  </w:pPr>
                  <w:r>
                    <w:rPr>
                      <w:color w:val="auto"/>
                    </w:rPr>
                    <w:t>2000</w:t>
                  </w:r>
                </w:p>
                <w:p w14:paraId="50924FBD">
                  <w:pPr>
                    <w:pStyle w:val="41"/>
                    <w:rPr>
                      <w:color w:val="auto"/>
                    </w:rPr>
                  </w:pPr>
                  <w:r>
                    <w:rPr>
                      <w:rFonts w:hint="eastAsia"/>
                      <w:color w:val="auto"/>
                    </w:rPr>
                    <w:t>（无量纲）</w:t>
                  </w:r>
                </w:p>
              </w:tc>
              <w:tc>
                <w:tcPr>
                  <w:tcW w:w="627" w:type="pct"/>
                  <w:tcBorders>
                    <w:tl2br w:val="nil"/>
                    <w:tr2bl w:val="nil"/>
                  </w:tcBorders>
                  <w:tcMar>
                    <w:left w:w="28" w:type="dxa"/>
                    <w:right w:w="28" w:type="dxa"/>
                  </w:tcMar>
                  <w:vAlign w:val="center"/>
                </w:tcPr>
                <w:p w14:paraId="1809D9CF">
                  <w:pPr>
                    <w:pStyle w:val="41"/>
                    <w:rPr>
                      <w:color w:val="auto"/>
                    </w:rPr>
                  </w:pPr>
                  <w:r>
                    <w:rPr>
                      <w:rFonts w:hint="eastAsia"/>
                      <w:color w:val="auto"/>
                    </w:rPr>
                    <w:t>/</w:t>
                  </w:r>
                </w:p>
              </w:tc>
              <w:tc>
                <w:tcPr>
                  <w:tcW w:w="1260" w:type="pct"/>
                  <w:tcBorders>
                    <w:tl2br w:val="nil"/>
                    <w:tr2bl w:val="nil"/>
                  </w:tcBorders>
                  <w:tcMar>
                    <w:left w:w="28" w:type="dxa"/>
                    <w:right w:w="28" w:type="dxa"/>
                  </w:tcMar>
                  <w:vAlign w:val="center"/>
                </w:tcPr>
                <w:p w14:paraId="4CF58D00">
                  <w:pPr>
                    <w:pStyle w:val="41"/>
                    <w:rPr>
                      <w:color w:val="auto"/>
                    </w:rPr>
                  </w:pPr>
                  <w:r>
                    <w:rPr>
                      <w:rFonts w:hint="eastAsia"/>
                      <w:color w:val="auto"/>
                    </w:rPr>
                    <w:t>GB14554-93表2</w:t>
                  </w:r>
                  <w:r>
                    <w:rPr>
                      <w:color w:val="auto"/>
                    </w:rPr>
                    <w:t>标准</w:t>
                  </w:r>
                </w:p>
              </w:tc>
            </w:tr>
          </w:tbl>
          <w:p w14:paraId="40D2C9B1">
            <w:pPr>
              <w:ind w:firstLine="480"/>
              <w:jc w:val="center"/>
              <w:rPr>
                <w:b/>
                <w:bCs/>
                <w:color w:val="auto"/>
                <w:sz w:val="24"/>
                <w:szCs w:val="24"/>
              </w:rPr>
            </w:pPr>
            <w:r>
              <w:rPr>
                <w:rFonts w:hint="eastAsia"/>
                <w:b/>
                <w:bCs/>
                <w:color w:val="auto"/>
                <w:sz w:val="24"/>
                <w:szCs w:val="24"/>
              </w:rPr>
              <w:t>表3-</w:t>
            </w:r>
            <w:r>
              <w:rPr>
                <w:rFonts w:hint="eastAsia"/>
                <w:b/>
                <w:bCs/>
                <w:color w:val="auto"/>
                <w:sz w:val="24"/>
                <w:szCs w:val="24"/>
                <w:lang w:val="en-US" w:eastAsia="zh-CN"/>
              </w:rPr>
              <w:t>6</w:t>
            </w:r>
            <w:r>
              <w:rPr>
                <w:rFonts w:hint="eastAsia"/>
                <w:b/>
                <w:bCs/>
                <w:color w:val="auto"/>
                <w:sz w:val="24"/>
                <w:szCs w:val="24"/>
              </w:rPr>
              <w:t>厂界无组织废气排放标准限值表</w:t>
            </w:r>
          </w:p>
          <w:tbl>
            <w:tblPr>
              <w:tblStyle w:val="26"/>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autofit"/>
              <w:tblCellMar>
                <w:top w:w="0" w:type="dxa"/>
                <w:left w:w="28" w:type="dxa"/>
                <w:bottom w:w="0" w:type="dxa"/>
                <w:right w:w="28" w:type="dxa"/>
              </w:tblCellMar>
            </w:tblPr>
            <w:tblGrid>
              <w:gridCol w:w="1721"/>
              <w:gridCol w:w="1834"/>
              <w:gridCol w:w="1800"/>
              <w:gridCol w:w="2556"/>
            </w:tblGrid>
            <w:tr w14:paraId="53125887">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511" w:hRule="atLeast"/>
                <w:jc w:val="center"/>
              </w:trPr>
              <w:tc>
                <w:tcPr>
                  <w:tcW w:w="1087" w:type="pct"/>
                  <w:tcBorders>
                    <w:tl2br w:val="nil"/>
                    <w:tr2bl w:val="nil"/>
                  </w:tcBorders>
                  <w:tcMar>
                    <w:left w:w="28" w:type="dxa"/>
                    <w:right w:w="28" w:type="dxa"/>
                  </w:tcMar>
                  <w:vAlign w:val="center"/>
                </w:tcPr>
                <w:p w14:paraId="71905627">
                  <w:pPr>
                    <w:pStyle w:val="41"/>
                    <w:rPr>
                      <w:color w:val="auto"/>
                    </w:rPr>
                  </w:pPr>
                  <w:r>
                    <w:rPr>
                      <w:color w:val="auto"/>
                    </w:rPr>
                    <w:t>废气产生来源</w:t>
                  </w:r>
                </w:p>
              </w:tc>
              <w:tc>
                <w:tcPr>
                  <w:tcW w:w="1159" w:type="pct"/>
                  <w:tcBorders>
                    <w:tl2br w:val="nil"/>
                    <w:tr2bl w:val="nil"/>
                  </w:tcBorders>
                  <w:tcMar>
                    <w:left w:w="28" w:type="dxa"/>
                    <w:right w:w="28" w:type="dxa"/>
                  </w:tcMar>
                  <w:vAlign w:val="center"/>
                </w:tcPr>
                <w:p w14:paraId="4946189E">
                  <w:pPr>
                    <w:pStyle w:val="41"/>
                    <w:rPr>
                      <w:color w:val="auto"/>
                    </w:rPr>
                  </w:pPr>
                  <w:r>
                    <w:rPr>
                      <w:color w:val="auto"/>
                    </w:rPr>
                    <w:t>污染物名称</w:t>
                  </w:r>
                </w:p>
              </w:tc>
              <w:tc>
                <w:tcPr>
                  <w:tcW w:w="1137" w:type="pct"/>
                  <w:tcBorders>
                    <w:tl2br w:val="nil"/>
                    <w:tr2bl w:val="nil"/>
                  </w:tcBorders>
                  <w:tcMar>
                    <w:left w:w="28" w:type="dxa"/>
                    <w:right w:w="28" w:type="dxa"/>
                  </w:tcMar>
                  <w:vAlign w:val="center"/>
                </w:tcPr>
                <w:p w14:paraId="212B4862">
                  <w:pPr>
                    <w:pStyle w:val="41"/>
                    <w:rPr>
                      <w:color w:val="auto"/>
                    </w:rPr>
                  </w:pPr>
                  <w:r>
                    <w:rPr>
                      <w:color w:val="auto"/>
                    </w:rPr>
                    <w:t>无组织排放监控浓度限值</w:t>
                  </w:r>
                </w:p>
                <w:p w14:paraId="1484890F">
                  <w:pPr>
                    <w:pStyle w:val="41"/>
                    <w:rPr>
                      <w:color w:val="auto"/>
                    </w:rPr>
                  </w:pPr>
                  <w:r>
                    <w:rPr>
                      <w:color w:val="auto"/>
                    </w:rPr>
                    <w:t>(mg/m</w:t>
                  </w:r>
                  <w:r>
                    <w:rPr>
                      <w:color w:val="auto"/>
                      <w:vertAlign w:val="superscript"/>
                    </w:rPr>
                    <w:t>3</w:t>
                  </w:r>
                  <w:r>
                    <w:rPr>
                      <w:color w:val="auto"/>
                    </w:rPr>
                    <w:t>)</w:t>
                  </w:r>
                </w:p>
              </w:tc>
              <w:tc>
                <w:tcPr>
                  <w:tcW w:w="1615" w:type="pct"/>
                  <w:tcBorders>
                    <w:tl2br w:val="nil"/>
                    <w:tr2bl w:val="nil"/>
                  </w:tcBorders>
                  <w:tcMar>
                    <w:left w:w="28" w:type="dxa"/>
                    <w:right w:w="28" w:type="dxa"/>
                  </w:tcMar>
                  <w:vAlign w:val="center"/>
                </w:tcPr>
                <w:p w14:paraId="3B8AB36E">
                  <w:pPr>
                    <w:pStyle w:val="41"/>
                    <w:rPr>
                      <w:color w:val="auto"/>
                    </w:rPr>
                  </w:pPr>
                  <w:r>
                    <w:rPr>
                      <w:color w:val="auto"/>
                    </w:rPr>
                    <w:t>标准来源</w:t>
                  </w:r>
                </w:p>
              </w:tc>
            </w:tr>
            <w:tr w14:paraId="4685FD6B">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1087" w:type="pct"/>
                  <w:vMerge w:val="restart"/>
                  <w:tcBorders>
                    <w:tl2br w:val="nil"/>
                    <w:tr2bl w:val="nil"/>
                  </w:tcBorders>
                  <w:tcMar>
                    <w:left w:w="28" w:type="dxa"/>
                    <w:right w:w="28" w:type="dxa"/>
                  </w:tcMar>
                  <w:vAlign w:val="center"/>
                </w:tcPr>
                <w:p w14:paraId="01DB1D85">
                  <w:pPr>
                    <w:pStyle w:val="41"/>
                    <w:rPr>
                      <w:color w:val="auto"/>
                    </w:rPr>
                  </w:pPr>
                  <w:r>
                    <w:rPr>
                      <w:color w:val="auto"/>
                    </w:rPr>
                    <w:t>数码印花及烘干、热转移印花工序未捕集的废气</w:t>
                  </w:r>
                </w:p>
              </w:tc>
              <w:tc>
                <w:tcPr>
                  <w:tcW w:w="1159" w:type="pct"/>
                  <w:tcBorders>
                    <w:tl2br w:val="nil"/>
                    <w:tr2bl w:val="nil"/>
                  </w:tcBorders>
                  <w:tcMar>
                    <w:left w:w="28" w:type="dxa"/>
                    <w:right w:w="28" w:type="dxa"/>
                  </w:tcMar>
                  <w:vAlign w:val="center"/>
                </w:tcPr>
                <w:p w14:paraId="4E082F10">
                  <w:pPr>
                    <w:pStyle w:val="41"/>
                    <w:rPr>
                      <w:color w:val="auto"/>
                    </w:rPr>
                  </w:pPr>
                  <w:r>
                    <w:rPr>
                      <w:color w:val="auto"/>
                    </w:rPr>
                    <w:t>非甲烷总烃</w:t>
                  </w:r>
                </w:p>
              </w:tc>
              <w:tc>
                <w:tcPr>
                  <w:tcW w:w="1137" w:type="pct"/>
                  <w:tcBorders>
                    <w:tl2br w:val="nil"/>
                    <w:tr2bl w:val="nil"/>
                  </w:tcBorders>
                  <w:tcMar>
                    <w:left w:w="28" w:type="dxa"/>
                    <w:right w:w="28" w:type="dxa"/>
                  </w:tcMar>
                  <w:vAlign w:val="center"/>
                </w:tcPr>
                <w:p w14:paraId="2B02580D">
                  <w:pPr>
                    <w:pStyle w:val="41"/>
                    <w:rPr>
                      <w:color w:val="auto"/>
                    </w:rPr>
                  </w:pPr>
                  <w:r>
                    <w:rPr>
                      <w:rFonts w:hint="eastAsia"/>
                      <w:color w:val="auto"/>
                    </w:rPr>
                    <w:t>4</w:t>
                  </w:r>
                </w:p>
              </w:tc>
              <w:tc>
                <w:tcPr>
                  <w:tcW w:w="1615" w:type="pct"/>
                  <w:tcBorders>
                    <w:tl2br w:val="nil"/>
                    <w:tr2bl w:val="nil"/>
                  </w:tcBorders>
                  <w:tcMar>
                    <w:left w:w="28" w:type="dxa"/>
                    <w:right w:w="28" w:type="dxa"/>
                  </w:tcMar>
                  <w:vAlign w:val="center"/>
                </w:tcPr>
                <w:p w14:paraId="13F8B009">
                  <w:pPr>
                    <w:pStyle w:val="41"/>
                    <w:rPr>
                      <w:color w:val="auto"/>
                    </w:rPr>
                  </w:pPr>
                  <w:r>
                    <w:rPr>
                      <w:color w:val="auto"/>
                    </w:rPr>
                    <w:t>DB32/4041-2021表3标准</w:t>
                  </w:r>
                </w:p>
              </w:tc>
            </w:tr>
            <w:tr w14:paraId="616D8FFC">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28" w:type="dxa"/>
                  <w:bottom w:w="0" w:type="dxa"/>
                  <w:right w:w="28" w:type="dxa"/>
                </w:tblCellMar>
              </w:tblPrEx>
              <w:trPr>
                <w:trHeight w:val="340" w:hRule="atLeast"/>
                <w:jc w:val="center"/>
              </w:trPr>
              <w:tc>
                <w:tcPr>
                  <w:tcW w:w="1087" w:type="pct"/>
                  <w:vMerge w:val="continue"/>
                  <w:tcBorders>
                    <w:tl2br w:val="nil"/>
                    <w:tr2bl w:val="nil"/>
                  </w:tcBorders>
                  <w:tcMar>
                    <w:left w:w="28" w:type="dxa"/>
                    <w:right w:w="28" w:type="dxa"/>
                  </w:tcMar>
                  <w:vAlign w:val="center"/>
                </w:tcPr>
                <w:p w14:paraId="1D57DBE6">
                  <w:pPr>
                    <w:pStyle w:val="41"/>
                    <w:rPr>
                      <w:color w:val="auto"/>
                    </w:rPr>
                  </w:pPr>
                </w:p>
              </w:tc>
              <w:tc>
                <w:tcPr>
                  <w:tcW w:w="1159" w:type="pct"/>
                  <w:tcBorders>
                    <w:tl2br w:val="nil"/>
                    <w:tr2bl w:val="nil"/>
                  </w:tcBorders>
                  <w:tcMar>
                    <w:left w:w="28" w:type="dxa"/>
                    <w:right w:w="28" w:type="dxa"/>
                  </w:tcMar>
                  <w:vAlign w:val="center"/>
                </w:tcPr>
                <w:p w14:paraId="4E9BBADB">
                  <w:pPr>
                    <w:pStyle w:val="41"/>
                    <w:rPr>
                      <w:color w:val="auto"/>
                    </w:rPr>
                  </w:pPr>
                  <w:r>
                    <w:rPr>
                      <w:color w:val="auto"/>
                    </w:rPr>
                    <w:t>臭气浓度</w:t>
                  </w:r>
                </w:p>
              </w:tc>
              <w:tc>
                <w:tcPr>
                  <w:tcW w:w="1137" w:type="pct"/>
                  <w:tcBorders>
                    <w:tl2br w:val="nil"/>
                    <w:tr2bl w:val="nil"/>
                  </w:tcBorders>
                  <w:tcMar>
                    <w:left w:w="28" w:type="dxa"/>
                    <w:right w:w="28" w:type="dxa"/>
                  </w:tcMar>
                  <w:vAlign w:val="center"/>
                </w:tcPr>
                <w:p w14:paraId="475C3528">
                  <w:pPr>
                    <w:pStyle w:val="41"/>
                    <w:rPr>
                      <w:color w:val="auto"/>
                    </w:rPr>
                  </w:pPr>
                  <w:r>
                    <w:rPr>
                      <w:rFonts w:hint="eastAsia"/>
                      <w:color w:val="auto"/>
                    </w:rPr>
                    <w:t>20（无量纲）</w:t>
                  </w:r>
                </w:p>
              </w:tc>
              <w:tc>
                <w:tcPr>
                  <w:tcW w:w="1615" w:type="pct"/>
                  <w:tcBorders>
                    <w:tl2br w:val="nil"/>
                    <w:tr2bl w:val="nil"/>
                  </w:tcBorders>
                  <w:tcMar>
                    <w:left w:w="28" w:type="dxa"/>
                    <w:right w:w="28" w:type="dxa"/>
                  </w:tcMar>
                  <w:vAlign w:val="center"/>
                </w:tcPr>
                <w:p w14:paraId="377011F4">
                  <w:pPr>
                    <w:pStyle w:val="41"/>
                    <w:rPr>
                      <w:color w:val="auto"/>
                    </w:rPr>
                  </w:pPr>
                  <w:r>
                    <w:rPr>
                      <w:color w:val="auto"/>
                    </w:rPr>
                    <w:t>GB14554-93表1标准</w:t>
                  </w:r>
                </w:p>
              </w:tc>
            </w:tr>
          </w:tbl>
          <w:p w14:paraId="4339A84A">
            <w:pPr>
              <w:ind w:firstLine="480"/>
              <w:jc w:val="center"/>
              <w:rPr>
                <w:b/>
                <w:bCs/>
                <w:color w:val="auto"/>
                <w:sz w:val="24"/>
                <w:szCs w:val="24"/>
              </w:rPr>
            </w:pPr>
            <w:r>
              <w:rPr>
                <w:rFonts w:hint="eastAsia"/>
                <w:b/>
                <w:bCs/>
                <w:color w:val="auto"/>
                <w:sz w:val="24"/>
                <w:szCs w:val="24"/>
              </w:rPr>
              <w:t>表3-</w:t>
            </w:r>
            <w:r>
              <w:rPr>
                <w:rFonts w:hint="eastAsia"/>
                <w:b/>
                <w:bCs/>
                <w:color w:val="auto"/>
                <w:sz w:val="24"/>
                <w:szCs w:val="24"/>
                <w:lang w:val="en-US" w:eastAsia="zh-CN"/>
              </w:rPr>
              <w:t>7</w:t>
            </w:r>
            <w:r>
              <w:rPr>
                <w:rFonts w:hint="eastAsia"/>
                <w:b/>
                <w:bCs/>
                <w:color w:val="auto"/>
                <w:sz w:val="24"/>
                <w:szCs w:val="24"/>
              </w:rPr>
              <w:t>厂区内无组织排放限值</w:t>
            </w:r>
          </w:p>
          <w:tbl>
            <w:tblPr>
              <w:tblStyle w:val="26"/>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Layout w:type="autofit"/>
              <w:tblCellMar>
                <w:top w:w="0" w:type="dxa"/>
                <w:left w:w="0" w:type="dxa"/>
                <w:bottom w:w="0" w:type="dxa"/>
                <w:right w:w="0" w:type="dxa"/>
              </w:tblCellMar>
            </w:tblPr>
            <w:tblGrid>
              <w:gridCol w:w="907"/>
              <w:gridCol w:w="1775"/>
              <w:gridCol w:w="1359"/>
              <w:gridCol w:w="1933"/>
              <w:gridCol w:w="1934"/>
            </w:tblGrid>
            <w:tr w14:paraId="3642ECDE">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0" w:type="dxa"/>
                  <w:bottom w:w="0" w:type="dxa"/>
                  <w:right w:w="0" w:type="dxa"/>
                </w:tblCellMar>
              </w:tblPrEx>
              <w:trPr>
                <w:trHeight w:val="511" w:hRule="atLeast"/>
                <w:jc w:val="center"/>
              </w:trPr>
              <w:tc>
                <w:tcPr>
                  <w:tcW w:w="573" w:type="pct"/>
                  <w:tcBorders>
                    <w:tl2br w:val="nil"/>
                    <w:tr2bl w:val="nil"/>
                  </w:tcBorders>
                  <w:tcMar>
                    <w:left w:w="28" w:type="dxa"/>
                    <w:right w:w="28" w:type="dxa"/>
                  </w:tcMar>
                  <w:vAlign w:val="center"/>
                </w:tcPr>
                <w:p w14:paraId="15F9EE62">
                  <w:pPr>
                    <w:pStyle w:val="41"/>
                    <w:rPr>
                      <w:color w:val="auto"/>
                    </w:rPr>
                  </w:pPr>
                  <w:r>
                    <w:rPr>
                      <w:rFonts w:hint="eastAsia"/>
                      <w:color w:val="auto"/>
                    </w:rPr>
                    <w:t>污染物</w:t>
                  </w:r>
                </w:p>
              </w:tc>
              <w:tc>
                <w:tcPr>
                  <w:tcW w:w="1122" w:type="pct"/>
                  <w:tcBorders>
                    <w:tl2br w:val="nil"/>
                    <w:tr2bl w:val="nil"/>
                  </w:tcBorders>
                  <w:tcMar>
                    <w:left w:w="28" w:type="dxa"/>
                    <w:right w:w="28" w:type="dxa"/>
                  </w:tcMar>
                  <w:vAlign w:val="center"/>
                </w:tcPr>
                <w:p w14:paraId="303AF4BA">
                  <w:pPr>
                    <w:pStyle w:val="41"/>
                    <w:rPr>
                      <w:color w:val="auto"/>
                    </w:rPr>
                  </w:pPr>
                  <w:r>
                    <w:rPr>
                      <w:rFonts w:hint="eastAsia"/>
                      <w:color w:val="auto"/>
                    </w:rPr>
                    <w:t>特别排放限值</w:t>
                  </w:r>
                </w:p>
                <w:p w14:paraId="60CB5637">
                  <w:pPr>
                    <w:pStyle w:val="41"/>
                    <w:rPr>
                      <w:color w:val="auto"/>
                    </w:rPr>
                  </w:pPr>
                  <w:r>
                    <w:rPr>
                      <w:color w:val="auto"/>
                    </w:rPr>
                    <w:t>(mg/m</w:t>
                  </w:r>
                  <w:r>
                    <w:rPr>
                      <w:color w:val="auto"/>
                      <w:vertAlign w:val="superscript"/>
                    </w:rPr>
                    <w:t>3</w:t>
                  </w:r>
                  <w:r>
                    <w:rPr>
                      <w:color w:val="auto"/>
                    </w:rPr>
                    <w:t>)</w:t>
                  </w:r>
                </w:p>
              </w:tc>
              <w:tc>
                <w:tcPr>
                  <w:tcW w:w="859" w:type="pct"/>
                  <w:tcBorders>
                    <w:tl2br w:val="nil"/>
                    <w:tr2bl w:val="nil"/>
                  </w:tcBorders>
                  <w:tcMar>
                    <w:left w:w="28" w:type="dxa"/>
                    <w:right w:w="28" w:type="dxa"/>
                  </w:tcMar>
                  <w:vAlign w:val="center"/>
                </w:tcPr>
                <w:p w14:paraId="73B7633B">
                  <w:pPr>
                    <w:pStyle w:val="41"/>
                    <w:rPr>
                      <w:color w:val="auto"/>
                    </w:rPr>
                  </w:pPr>
                  <w:r>
                    <w:rPr>
                      <w:rFonts w:hint="eastAsia"/>
                      <w:color w:val="auto"/>
                    </w:rPr>
                    <w:t>限值含义</w:t>
                  </w:r>
                </w:p>
              </w:tc>
              <w:tc>
                <w:tcPr>
                  <w:tcW w:w="1222" w:type="pct"/>
                  <w:tcBorders>
                    <w:tl2br w:val="nil"/>
                    <w:tr2bl w:val="nil"/>
                  </w:tcBorders>
                  <w:tcMar>
                    <w:left w:w="28" w:type="dxa"/>
                    <w:right w:w="28" w:type="dxa"/>
                  </w:tcMar>
                  <w:vAlign w:val="center"/>
                </w:tcPr>
                <w:p w14:paraId="5D66B3CF">
                  <w:pPr>
                    <w:pStyle w:val="41"/>
                    <w:rPr>
                      <w:color w:val="auto"/>
                    </w:rPr>
                  </w:pPr>
                  <w:r>
                    <w:rPr>
                      <w:rFonts w:hint="eastAsia"/>
                      <w:color w:val="auto"/>
                    </w:rPr>
                    <w:t>无组织排放监控位置</w:t>
                  </w:r>
                </w:p>
              </w:tc>
              <w:tc>
                <w:tcPr>
                  <w:tcW w:w="1222" w:type="pct"/>
                  <w:tcBorders>
                    <w:tl2br w:val="nil"/>
                    <w:tr2bl w:val="nil"/>
                  </w:tcBorders>
                  <w:tcMar>
                    <w:left w:w="28" w:type="dxa"/>
                    <w:right w:w="28" w:type="dxa"/>
                  </w:tcMar>
                  <w:vAlign w:val="center"/>
                </w:tcPr>
                <w:p w14:paraId="480D0343">
                  <w:pPr>
                    <w:pStyle w:val="41"/>
                    <w:rPr>
                      <w:color w:val="auto"/>
                    </w:rPr>
                  </w:pPr>
                  <w:r>
                    <w:rPr>
                      <w:color w:val="auto"/>
                    </w:rPr>
                    <w:t>标准来源</w:t>
                  </w:r>
                </w:p>
              </w:tc>
            </w:tr>
            <w:tr w14:paraId="36DD923D">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0" w:type="dxa"/>
                  <w:bottom w:w="0" w:type="dxa"/>
                  <w:right w:w="0" w:type="dxa"/>
                </w:tblCellMar>
              </w:tblPrEx>
              <w:trPr>
                <w:trHeight w:val="340" w:hRule="atLeast"/>
                <w:jc w:val="center"/>
              </w:trPr>
              <w:tc>
                <w:tcPr>
                  <w:tcW w:w="573" w:type="pct"/>
                  <w:vMerge w:val="restart"/>
                  <w:tcBorders>
                    <w:tl2br w:val="nil"/>
                    <w:tr2bl w:val="nil"/>
                  </w:tcBorders>
                  <w:tcMar>
                    <w:left w:w="28" w:type="dxa"/>
                    <w:right w:w="28" w:type="dxa"/>
                  </w:tcMar>
                  <w:vAlign w:val="center"/>
                </w:tcPr>
                <w:p w14:paraId="4085DE16">
                  <w:pPr>
                    <w:pStyle w:val="41"/>
                    <w:rPr>
                      <w:color w:val="auto"/>
                    </w:rPr>
                  </w:pPr>
                  <w:r>
                    <w:rPr>
                      <w:rFonts w:hint="eastAsia"/>
                      <w:color w:val="auto"/>
                    </w:rPr>
                    <w:t>非甲烷总烃</w:t>
                  </w:r>
                </w:p>
              </w:tc>
              <w:tc>
                <w:tcPr>
                  <w:tcW w:w="1122" w:type="pct"/>
                  <w:tcBorders>
                    <w:tl2br w:val="nil"/>
                    <w:tr2bl w:val="nil"/>
                  </w:tcBorders>
                  <w:tcMar>
                    <w:left w:w="28" w:type="dxa"/>
                    <w:right w:w="28" w:type="dxa"/>
                  </w:tcMar>
                  <w:vAlign w:val="center"/>
                </w:tcPr>
                <w:p w14:paraId="6AA5B8DF">
                  <w:pPr>
                    <w:pStyle w:val="41"/>
                    <w:rPr>
                      <w:color w:val="auto"/>
                    </w:rPr>
                  </w:pPr>
                  <w:r>
                    <w:rPr>
                      <w:rFonts w:hint="eastAsia"/>
                      <w:color w:val="auto"/>
                    </w:rPr>
                    <w:t>6</w:t>
                  </w:r>
                </w:p>
              </w:tc>
              <w:tc>
                <w:tcPr>
                  <w:tcW w:w="859" w:type="pct"/>
                  <w:tcBorders>
                    <w:tl2br w:val="nil"/>
                    <w:tr2bl w:val="nil"/>
                  </w:tcBorders>
                  <w:tcMar>
                    <w:left w:w="28" w:type="dxa"/>
                    <w:right w:w="28" w:type="dxa"/>
                  </w:tcMar>
                  <w:vAlign w:val="center"/>
                </w:tcPr>
                <w:p w14:paraId="72B23CC4">
                  <w:pPr>
                    <w:pStyle w:val="41"/>
                    <w:rPr>
                      <w:color w:val="auto"/>
                    </w:rPr>
                  </w:pPr>
                  <w:r>
                    <w:rPr>
                      <w:rFonts w:hint="eastAsia"/>
                      <w:color w:val="auto"/>
                    </w:rPr>
                    <w:t>监控点处1h平均浓度值</w:t>
                  </w:r>
                </w:p>
              </w:tc>
              <w:tc>
                <w:tcPr>
                  <w:tcW w:w="1222" w:type="pct"/>
                  <w:vMerge w:val="restart"/>
                  <w:tcBorders>
                    <w:tl2br w:val="nil"/>
                    <w:tr2bl w:val="nil"/>
                  </w:tcBorders>
                  <w:tcMar>
                    <w:left w:w="28" w:type="dxa"/>
                    <w:right w:w="28" w:type="dxa"/>
                  </w:tcMar>
                  <w:vAlign w:val="center"/>
                </w:tcPr>
                <w:p w14:paraId="3AD231C6">
                  <w:pPr>
                    <w:pStyle w:val="41"/>
                    <w:rPr>
                      <w:color w:val="auto"/>
                    </w:rPr>
                  </w:pPr>
                  <w:r>
                    <w:rPr>
                      <w:rFonts w:hint="eastAsia"/>
                      <w:color w:val="auto"/>
                    </w:rPr>
                    <w:t>监控点处任意一次浓度值</w:t>
                  </w:r>
                </w:p>
              </w:tc>
              <w:tc>
                <w:tcPr>
                  <w:tcW w:w="1222" w:type="pct"/>
                  <w:vMerge w:val="restart"/>
                  <w:tcBorders>
                    <w:tl2br w:val="nil"/>
                    <w:tr2bl w:val="nil"/>
                  </w:tcBorders>
                  <w:tcMar>
                    <w:left w:w="28" w:type="dxa"/>
                    <w:right w:w="28" w:type="dxa"/>
                  </w:tcMar>
                  <w:vAlign w:val="center"/>
                </w:tcPr>
                <w:p w14:paraId="2CCC5B76">
                  <w:pPr>
                    <w:pStyle w:val="41"/>
                    <w:rPr>
                      <w:color w:val="auto"/>
                    </w:rPr>
                  </w:pPr>
                  <w:r>
                    <w:rPr>
                      <w:color w:val="auto"/>
                    </w:rPr>
                    <w:t>DB32/4041-2021</w:t>
                  </w:r>
                  <w:r>
                    <w:rPr>
                      <w:rFonts w:hint="eastAsia"/>
                      <w:color w:val="auto"/>
                    </w:rPr>
                    <w:t>表</w:t>
                  </w:r>
                  <w:r>
                    <w:rPr>
                      <w:color w:val="auto"/>
                    </w:rPr>
                    <w:t>3</w:t>
                  </w:r>
                  <w:r>
                    <w:rPr>
                      <w:rFonts w:hint="eastAsia"/>
                      <w:color w:val="auto"/>
                    </w:rPr>
                    <w:t>标准</w:t>
                  </w:r>
                </w:p>
              </w:tc>
            </w:tr>
            <w:tr w14:paraId="06D81DBA">
              <w:tblPrEx>
                <w:tblBorders>
                  <w:top w:val="single" w:color="auto" w:sz="12" w:space="0"/>
                  <w:left w:val="none" w:color="auto" w:sz="0" w:space="0"/>
                  <w:bottom w:val="single" w:color="auto" w:sz="12" w:space="0"/>
                  <w:right w:val="none" w:color="auto" w:sz="0" w:space="0"/>
                  <w:insideH w:val="single" w:color="auto" w:sz="4" w:space="0"/>
                  <w:insideV w:val="single" w:color="auto" w:sz="6" w:space="0"/>
                </w:tblBorders>
                <w:tblCellMar>
                  <w:top w:w="0" w:type="dxa"/>
                  <w:left w:w="0" w:type="dxa"/>
                  <w:bottom w:w="0" w:type="dxa"/>
                  <w:right w:w="0" w:type="dxa"/>
                </w:tblCellMar>
              </w:tblPrEx>
              <w:trPr>
                <w:trHeight w:val="340" w:hRule="atLeast"/>
                <w:jc w:val="center"/>
              </w:trPr>
              <w:tc>
                <w:tcPr>
                  <w:tcW w:w="573" w:type="pct"/>
                  <w:vMerge w:val="continue"/>
                  <w:tcBorders>
                    <w:tl2br w:val="nil"/>
                    <w:tr2bl w:val="nil"/>
                  </w:tcBorders>
                  <w:tcMar>
                    <w:left w:w="28" w:type="dxa"/>
                    <w:right w:w="28" w:type="dxa"/>
                  </w:tcMar>
                  <w:vAlign w:val="center"/>
                </w:tcPr>
                <w:p w14:paraId="6D3FF5DD">
                  <w:pPr>
                    <w:pStyle w:val="41"/>
                    <w:rPr>
                      <w:color w:val="auto"/>
                    </w:rPr>
                  </w:pPr>
                </w:p>
              </w:tc>
              <w:tc>
                <w:tcPr>
                  <w:tcW w:w="1122" w:type="pct"/>
                  <w:tcBorders>
                    <w:tl2br w:val="nil"/>
                    <w:tr2bl w:val="nil"/>
                  </w:tcBorders>
                  <w:tcMar>
                    <w:left w:w="28" w:type="dxa"/>
                    <w:right w:w="28" w:type="dxa"/>
                  </w:tcMar>
                  <w:vAlign w:val="center"/>
                </w:tcPr>
                <w:p w14:paraId="49C818F8">
                  <w:pPr>
                    <w:pStyle w:val="41"/>
                    <w:rPr>
                      <w:color w:val="auto"/>
                    </w:rPr>
                  </w:pPr>
                  <w:r>
                    <w:rPr>
                      <w:rFonts w:hint="eastAsia"/>
                      <w:color w:val="auto"/>
                    </w:rPr>
                    <w:t>20</w:t>
                  </w:r>
                </w:p>
              </w:tc>
              <w:tc>
                <w:tcPr>
                  <w:tcW w:w="859" w:type="pct"/>
                  <w:tcBorders>
                    <w:tl2br w:val="nil"/>
                    <w:tr2bl w:val="nil"/>
                  </w:tcBorders>
                  <w:tcMar>
                    <w:left w:w="28" w:type="dxa"/>
                    <w:right w:w="28" w:type="dxa"/>
                  </w:tcMar>
                  <w:vAlign w:val="center"/>
                </w:tcPr>
                <w:p w14:paraId="1C72BB56">
                  <w:pPr>
                    <w:pStyle w:val="41"/>
                    <w:rPr>
                      <w:color w:val="auto"/>
                    </w:rPr>
                  </w:pPr>
                  <w:r>
                    <w:rPr>
                      <w:rFonts w:hint="eastAsia"/>
                      <w:color w:val="auto"/>
                    </w:rPr>
                    <w:t>监控点处任意一次浓度值</w:t>
                  </w:r>
                </w:p>
              </w:tc>
              <w:tc>
                <w:tcPr>
                  <w:tcW w:w="1222" w:type="pct"/>
                  <w:vMerge w:val="continue"/>
                  <w:tcBorders>
                    <w:tl2br w:val="nil"/>
                    <w:tr2bl w:val="nil"/>
                  </w:tcBorders>
                  <w:tcMar>
                    <w:left w:w="28" w:type="dxa"/>
                    <w:right w:w="28" w:type="dxa"/>
                  </w:tcMar>
                  <w:vAlign w:val="center"/>
                </w:tcPr>
                <w:p w14:paraId="78899287">
                  <w:pPr>
                    <w:pStyle w:val="41"/>
                    <w:rPr>
                      <w:color w:val="auto"/>
                    </w:rPr>
                  </w:pPr>
                </w:p>
              </w:tc>
              <w:tc>
                <w:tcPr>
                  <w:tcW w:w="1222" w:type="pct"/>
                  <w:vMerge w:val="continue"/>
                  <w:tcBorders>
                    <w:tl2br w:val="nil"/>
                    <w:tr2bl w:val="nil"/>
                  </w:tcBorders>
                  <w:tcMar>
                    <w:left w:w="28" w:type="dxa"/>
                    <w:right w:w="28" w:type="dxa"/>
                  </w:tcMar>
                  <w:vAlign w:val="center"/>
                </w:tcPr>
                <w:p w14:paraId="50C73F66">
                  <w:pPr>
                    <w:pStyle w:val="41"/>
                    <w:rPr>
                      <w:color w:val="auto"/>
                    </w:rPr>
                  </w:pPr>
                </w:p>
              </w:tc>
            </w:tr>
          </w:tbl>
          <w:p w14:paraId="2BF90ABD">
            <w:pPr>
              <w:kinsoku w:val="0"/>
              <w:overflowPunct w:val="0"/>
              <w:autoSpaceDE w:val="0"/>
              <w:autoSpaceDN w:val="0"/>
              <w:adjustRightInd w:val="0"/>
              <w:snapToGrid w:val="0"/>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3</w:t>
            </w:r>
            <w:r>
              <w:rPr>
                <w:rFonts w:hint="default" w:ascii="Times New Roman" w:hAnsi="Times New Roman" w:eastAsia="宋体" w:cs="Times New Roman"/>
                <w:b/>
                <w:bCs/>
                <w:color w:val="auto"/>
                <w:sz w:val="24"/>
                <w:szCs w:val="24"/>
              </w:rPr>
              <w:t>、废水</w:t>
            </w:r>
          </w:p>
          <w:p w14:paraId="0C1DC7E9">
            <w:pPr>
              <w:ind w:firstLine="480"/>
              <w:rPr>
                <w:color w:val="auto"/>
                <w:sz w:val="24"/>
                <w:szCs w:val="24"/>
              </w:rPr>
            </w:pPr>
            <w:r>
              <w:rPr>
                <w:rFonts w:hint="eastAsia"/>
                <w:color w:val="auto"/>
                <w:sz w:val="24"/>
                <w:szCs w:val="24"/>
              </w:rPr>
              <w:t>本项目生活污水接入</w:t>
            </w:r>
            <w:r>
              <w:rPr>
                <w:rFonts w:hint="eastAsia"/>
                <w:b/>
                <w:bCs/>
                <w:color w:val="auto"/>
                <w:sz w:val="24"/>
                <w:szCs w:val="24"/>
              </w:rPr>
              <w:t>近期接入</w:t>
            </w:r>
            <w:r>
              <w:rPr>
                <w:color w:val="auto"/>
                <w:sz w:val="24"/>
                <w:szCs w:val="24"/>
              </w:rPr>
              <w:t>江阴市山泉污水处理厂</w:t>
            </w:r>
            <w:r>
              <w:rPr>
                <w:rFonts w:hint="eastAsia"/>
                <w:color w:val="auto"/>
                <w:sz w:val="24"/>
                <w:szCs w:val="24"/>
              </w:rPr>
              <w:t>集中处理，接管标准执行《污水综合排放标准》（GB8978-1996）表4的三级标准和《污水排入城镇下水道水质标准》（GB/T 31962-2015）表1中B等级标准，</w:t>
            </w:r>
            <w:r>
              <w:rPr>
                <w:rFonts w:hint="eastAsia"/>
                <w:color w:val="auto"/>
                <w:sz w:val="24"/>
                <w:szCs w:val="24"/>
                <w:lang w:val="en-US" w:eastAsia="zh-CN"/>
              </w:rPr>
              <w:t>尾水</w:t>
            </w:r>
            <w:r>
              <w:rPr>
                <w:rFonts w:hint="eastAsia"/>
                <w:color w:val="auto"/>
                <w:sz w:val="24"/>
                <w:szCs w:val="24"/>
              </w:rPr>
              <w:t>达《太湖地区城镇污水处理厂及重点工业行业主要水污染物排放限值》（DB32/1072-2018）表2标准和《城镇污水处理厂污染物排放标准》（GB18918-2002）表1一级A标准</w:t>
            </w:r>
            <w:r>
              <w:rPr>
                <w:rStyle w:val="33"/>
                <w:rFonts w:hint="eastAsia"/>
                <w:color w:val="auto"/>
                <w:kern w:val="0"/>
                <w:lang w:eastAsia="zh-CN"/>
              </w:rPr>
              <w:t>；</w:t>
            </w:r>
            <w:r>
              <w:rPr>
                <w:rFonts w:hint="eastAsia"/>
                <w:color w:val="auto"/>
                <w:sz w:val="24"/>
                <w:szCs w:val="24"/>
                <w:lang w:val="en-US" w:eastAsia="zh-CN"/>
              </w:rPr>
              <w:t>远期接入江阴市兴泉环境工程有限公司，尾水达《城镇污水处理厂污染物排放标准》（DB32/4440-2022）表1中C标准</w:t>
            </w:r>
            <w:r>
              <w:rPr>
                <w:rFonts w:hint="eastAsia"/>
                <w:color w:val="auto"/>
                <w:sz w:val="24"/>
                <w:szCs w:val="24"/>
              </w:rPr>
              <w:t>，后排入张家港河。具体见表3-</w:t>
            </w:r>
            <w:r>
              <w:rPr>
                <w:rFonts w:hint="eastAsia"/>
                <w:color w:val="auto"/>
                <w:sz w:val="24"/>
                <w:szCs w:val="24"/>
                <w:lang w:val="en-US" w:eastAsia="zh-CN"/>
              </w:rPr>
              <w:t>8</w:t>
            </w:r>
            <w:r>
              <w:rPr>
                <w:rFonts w:hint="eastAsia"/>
                <w:color w:val="auto"/>
                <w:sz w:val="24"/>
                <w:szCs w:val="24"/>
              </w:rPr>
              <w:t>。</w:t>
            </w:r>
          </w:p>
          <w:p w14:paraId="52698186">
            <w:pPr>
              <w:adjustRightInd w:val="0"/>
              <w:snapToGrid w:val="0"/>
              <w:spacing w:line="240" w:lineRule="auto"/>
              <w:jc w:val="center"/>
              <w:rPr>
                <w:rFonts w:hint="eastAsia"/>
                <w:b/>
                <w:bCs/>
                <w:color w:val="auto"/>
                <w:sz w:val="24"/>
                <w:szCs w:val="24"/>
              </w:rPr>
            </w:pPr>
          </w:p>
          <w:p w14:paraId="03FBC900">
            <w:pPr>
              <w:adjustRightInd w:val="0"/>
              <w:snapToGrid w:val="0"/>
              <w:spacing w:line="240" w:lineRule="auto"/>
              <w:jc w:val="center"/>
              <w:rPr>
                <w:b/>
                <w:bCs/>
                <w:color w:val="auto"/>
                <w:sz w:val="24"/>
                <w:szCs w:val="24"/>
              </w:rPr>
            </w:pPr>
            <w:r>
              <w:rPr>
                <w:rFonts w:hint="eastAsia"/>
                <w:b/>
                <w:bCs/>
                <w:color w:val="auto"/>
                <w:sz w:val="24"/>
                <w:szCs w:val="24"/>
              </w:rPr>
              <w:t>表3-</w:t>
            </w:r>
            <w:r>
              <w:rPr>
                <w:rFonts w:hint="eastAsia"/>
                <w:b/>
                <w:bCs/>
                <w:color w:val="auto"/>
                <w:sz w:val="24"/>
                <w:szCs w:val="24"/>
                <w:lang w:val="en-US" w:eastAsia="zh-CN"/>
              </w:rPr>
              <w:t>8</w:t>
            </w:r>
            <w:r>
              <w:rPr>
                <w:rFonts w:hint="eastAsia"/>
                <w:b/>
                <w:bCs/>
                <w:color w:val="auto"/>
                <w:sz w:val="24"/>
                <w:szCs w:val="24"/>
              </w:rPr>
              <w:t>污水排放标准限值表</w:t>
            </w:r>
            <w:r>
              <w:rPr>
                <w:b/>
                <w:bCs/>
                <w:color w:val="auto"/>
                <w:sz w:val="24"/>
                <w:szCs w:val="24"/>
              </w:rPr>
              <w:t>（单位：mg/L，pH无量纲）</w:t>
            </w:r>
          </w:p>
          <w:tbl>
            <w:tblPr>
              <w:tblStyle w:val="26"/>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230"/>
              <w:gridCol w:w="2571"/>
              <w:gridCol w:w="2055"/>
              <w:gridCol w:w="2055"/>
            </w:tblGrid>
            <w:tr w14:paraId="14524EA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777" w:type="pct"/>
                  <w:tcBorders>
                    <w:tl2br w:val="nil"/>
                    <w:tr2bl w:val="nil"/>
                  </w:tcBorders>
                  <w:vAlign w:val="center"/>
                </w:tcPr>
                <w:p w14:paraId="6D5AB254">
                  <w:pPr>
                    <w:pStyle w:val="41"/>
                    <w:rPr>
                      <w:color w:val="auto"/>
                    </w:rPr>
                  </w:pPr>
                  <w:r>
                    <w:rPr>
                      <w:color w:val="auto"/>
                    </w:rPr>
                    <w:t>项目</w:t>
                  </w:r>
                </w:p>
              </w:tc>
              <w:tc>
                <w:tcPr>
                  <w:tcW w:w="1624" w:type="pct"/>
                  <w:tcBorders>
                    <w:tl2br w:val="nil"/>
                    <w:tr2bl w:val="nil"/>
                  </w:tcBorders>
                  <w:vAlign w:val="center"/>
                </w:tcPr>
                <w:p w14:paraId="4B783C99">
                  <w:pPr>
                    <w:pStyle w:val="41"/>
                    <w:rPr>
                      <w:color w:val="auto"/>
                    </w:rPr>
                  </w:pPr>
                  <w:r>
                    <w:rPr>
                      <w:color w:val="auto"/>
                    </w:rPr>
                    <w:t>污水处理厂接管标准</w:t>
                  </w:r>
                </w:p>
              </w:tc>
              <w:tc>
                <w:tcPr>
                  <w:tcW w:w="1298" w:type="pct"/>
                  <w:tcBorders>
                    <w:tl2br w:val="nil"/>
                    <w:tr2bl w:val="nil"/>
                  </w:tcBorders>
                  <w:vAlign w:val="center"/>
                </w:tcPr>
                <w:p w14:paraId="5EB98BA1">
                  <w:pPr>
                    <w:pStyle w:val="41"/>
                    <w:rPr>
                      <w:rFonts w:hint="eastAsia"/>
                      <w:color w:val="auto"/>
                      <w:lang w:eastAsia="zh-CN"/>
                    </w:rPr>
                  </w:pPr>
                  <w:r>
                    <w:rPr>
                      <w:color w:val="auto"/>
                    </w:rPr>
                    <w:t>排放标准</w:t>
                  </w:r>
                  <w:r>
                    <w:rPr>
                      <w:rFonts w:hint="eastAsia"/>
                      <w:color w:val="auto"/>
                      <w:lang w:eastAsia="zh-CN"/>
                    </w:rPr>
                    <w:t>（</w:t>
                  </w:r>
                  <w:r>
                    <w:rPr>
                      <w:rFonts w:hint="eastAsia"/>
                      <w:color w:val="auto"/>
                      <w:lang w:val="en-US" w:eastAsia="zh-CN"/>
                    </w:rPr>
                    <w:t>近期</w:t>
                  </w:r>
                  <w:r>
                    <w:rPr>
                      <w:rFonts w:hint="eastAsia"/>
                      <w:color w:val="auto"/>
                      <w:lang w:eastAsia="zh-CN"/>
                    </w:rPr>
                    <w:t>）</w:t>
                  </w:r>
                </w:p>
              </w:tc>
              <w:tc>
                <w:tcPr>
                  <w:tcW w:w="1298" w:type="pct"/>
                  <w:tcBorders>
                    <w:tl2br w:val="nil"/>
                    <w:tr2bl w:val="nil"/>
                  </w:tcBorders>
                  <w:vAlign w:val="center"/>
                </w:tcPr>
                <w:p w14:paraId="4E7820A6">
                  <w:pPr>
                    <w:pStyle w:val="41"/>
                    <w:rPr>
                      <w:color w:val="auto"/>
                    </w:rPr>
                  </w:pPr>
                  <w:r>
                    <w:rPr>
                      <w:color w:val="auto"/>
                    </w:rPr>
                    <w:t>排放标准</w:t>
                  </w:r>
                  <w:r>
                    <w:rPr>
                      <w:rFonts w:hint="eastAsia"/>
                      <w:color w:val="auto"/>
                      <w:lang w:eastAsia="zh-CN"/>
                    </w:rPr>
                    <w:t>（</w:t>
                  </w:r>
                  <w:r>
                    <w:rPr>
                      <w:rFonts w:hint="eastAsia"/>
                      <w:color w:val="auto"/>
                      <w:lang w:val="en-US" w:eastAsia="zh-CN"/>
                    </w:rPr>
                    <w:t>远期</w:t>
                  </w:r>
                  <w:r>
                    <w:rPr>
                      <w:rFonts w:hint="eastAsia"/>
                      <w:color w:val="auto"/>
                      <w:lang w:eastAsia="zh-CN"/>
                    </w:rPr>
                    <w:t>）</w:t>
                  </w:r>
                </w:p>
              </w:tc>
            </w:tr>
            <w:tr w14:paraId="20A31B6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777" w:type="pct"/>
                  <w:tcBorders>
                    <w:tl2br w:val="nil"/>
                    <w:tr2bl w:val="nil"/>
                  </w:tcBorders>
                  <w:vAlign w:val="center"/>
                </w:tcPr>
                <w:p w14:paraId="0459040C">
                  <w:pPr>
                    <w:pStyle w:val="41"/>
                    <w:rPr>
                      <w:color w:val="auto"/>
                    </w:rPr>
                  </w:pPr>
                  <w:r>
                    <w:rPr>
                      <w:color w:val="auto"/>
                    </w:rPr>
                    <w:t>pH</w:t>
                  </w:r>
                </w:p>
              </w:tc>
              <w:tc>
                <w:tcPr>
                  <w:tcW w:w="1624" w:type="pct"/>
                  <w:tcBorders>
                    <w:tl2br w:val="nil"/>
                    <w:tr2bl w:val="nil"/>
                  </w:tcBorders>
                  <w:vAlign w:val="center"/>
                </w:tcPr>
                <w:p w14:paraId="65FCE79F">
                  <w:pPr>
                    <w:pStyle w:val="41"/>
                    <w:rPr>
                      <w:color w:val="auto"/>
                    </w:rPr>
                  </w:pPr>
                  <w:r>
                    <w:rPr>
                      <w:color w:val="auto"/>
                    </w:rPr>
                    <w:t>6～9</w:t>
                  </w:r>
                </w:p>
              </w:tc>
              <w:tc>
                <w:tcPr>
                  <w:tcW w:w="1298" w:type="pct"/>
                  <w:tcBorders>
                    <w:tl2br w:val="nil"/>
                    <w:tr2bl w:val="nil"/>
                  </w:tcBorders>
                  <w:vAlign w:val="center"/>
                </w:tcPr>
                <w:p w14:paraId="324E9F7F">
                  <w:pPr>
                    <w:pStyle w:val="41"/>
                    <w:rPr>
                      <w:color w:val="auto"/>
                    </w:rPr>
                  </w:pPr>
                  <w:r>
                    <w:rPr>
                      <w:color w:val="auto"/>
                    </w:rPr>
                    <w:t>6~9</w:t>
                  </w:r>
                </w:p>
              </w:tc>
              <w:tc>
                <w:tcPr>
                  <w:tcW w:w="1298" w:type="pct"/>
                  <w:tcBorders>
                    <w:tl2br w:val="nil"/>
                    <w:tr2bl w:val="nil"/>
                  </w:tcBorders>
                  <w:shd w:val="clear" w:color="auto" w:fill="auto"/>
                  <w:vAlign w:val="center"/>
                </w:tcPr>
                <w:p w14:paraId="6BD23F49">
                  <w:pPr>
                    <w:pStyle w:val="41"/>
                    <w:rPr>
                      <w:color w:val="auto"/>
                      <w:lang w:val="en-US" w:eastAsia="zh-CN"/>
                    </w:rPr>
                  </w:pPr>
                  <w:r>
                    <w:rPr>
                      <w:rFonts w:hint="eastAsia"/>
                      <w:color w:val="auto"/>
                    </w:rPr>
                    <w:t>6</w:t>
                  </w:r>
                  <w:r>
                    <w:rPr>
                      <w:color w:val="auto"/>
                    </w:rPr>
                    <w:t>~9</w:t>
                  </w:r>
                </w:p>
              </w:tc>
            </w:tr>
            <w:tr w14:paraId="4BA474E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77" w:type="pct"/>
                  <w:tcBorders>
                    <w:tl2br w:val="nil"/>
                    <w:tr2bl w:val="nil"/>
                  </w:tcBorders>
                  <w:vAlign w:val="center"/>
                </w:tcPr>
                <w:p w14:paraId="5A681DBA">
                  <w:pPr>
                    <w:pStyle w:val="41"/>
                    <w:rPr>
                      <w:color w:val="auto"/>
                    </w:rPr>
                  </w:pPr>
                  <w:r>
                    <w:rPr>
                      <w:color w:val="auto"/>
                    </w:rPr>
                    <w:t>COD</w:t>
                  </w:r>
                </w:p>
              </w:tc>
              <w:tc>
                <w:tcPr>
                  <w:tcW w:w="1624" w:type="pct"/>
                  <w:tcBorders>
                    <w:tl2br w:val="nil"/>
                    <w:tr2bl w:val="nil"/>
                  </w:tcBorders>
                  <w:vAlign w:val="center"/>
                </w:tcPr>
                <w:p w14:paraId="67495943">
                  <w:pPr>
                    <w:pStyle w:val="41"/>
                    <w:rPr>
                      <w:color w:val="auto"/>
                    </w:rPr>
                  </w:pPr>
                  <w:r>
                    <w:rPr>
                      <w:color w:val="auto"/>
                    </w:rPr>
                    <w:t>500</w:t>
                  </w:r>
                </w:p>
              </w:tc>
              <w:tc>
                <w:tcPr>
                  <w:tcW w:w="1298" w:type="pct"/>
                  <w:tcBorders>
                    <w:tl2br w:val="nil"/>
                    <w:tr2bl w:val="nil"/>
                  </w:tcBorders>
                  <w:vAlign w:val="center"/>
                </w:tcPr>
                <w:p w14:paraId="03F24060">
                  <w:pPr>
                    <w:pStyle w:val="41"/>
                    <w:rPr>
                      <w:color w:val="auto"/>
                    </w:rPr>
                  </w:pPr>
                  <w:r>
                    <w:rPr>
                      <w:color w:val="auto"/>
                    </w:rPr>
                    <w:t>50</w:t>
                  </w:r>
                </w:p>
              </w:tc>
              <w:tc>
                <w:tcPr>
                  <w:tcW w:w="1298" w:type="pct"/>
                  <w:tcBorders>
                    <w:tl2br w:val="nil"/>
                    <w:tr2bl w:val="nil"/>
                  </w:tcBorders>
                  <w:shd w:val="clear" w:color="auto" w:fill="auto"/>
                  <w:vAlign w:val="center"/>
                </w:tcPr>
                <w:p w14:paraId="1B1B3E43">
                  <w:pPr>
                    <w:pStyle w:val="41"/>
                    <w:rPr>
                      <w:color w:val="auto"/>
                      <w:lang w:val="en-US" w:eastAsia="zh-CN"/>
                    </w:rPr>
                  </w:pPr>
                  <w:r>
                    <w:rPr>
                      <w:rFonts w:hint="eastAsia"/>
                      <w:color w:val="auto"/>
                    </w:rPr>
                    <w:t>3</w:t>
                  </w:r>
                  <w:r>
                    <w:rPr>
                      <w:color w:val="auto"/>
                    </w:rPr>
                    <w:t>0</w:t>
                  </w:r>
                </w:p>
              </w:tc>
            </w:tr>
            <w:tr w14:paraId="7CC773D8">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77" w:type="pct"/>
                  <w:tcBorders>
                    <w:tl2br w:val="nil"/>
                    <w:tr2bl w:val="nil"/>
                  </w:tcBorders>
                  <w:vAlign w:val="center"/>
                </w:tcPr>
                <w:p w14:paraId="2CF41D7F">
                  <w:pPr>
                    <w:pStyle w:val="41"/>
                    <w:rPr>
                      <w:color w:val="auto"/>
                    </w:rPr>
                  </w:pPr>
                  <w:r>
                    <w:rPr>
                      <w:color w:val="auto"/>
                    </w:rPr>
                    <w:t>SS</w:t>
                  </w:r>
                </w:p>
              </w:tc>
              <w:tc>
                <w:tcPr>
                  <w:tcW w:w="1624" w:type="pct"/>
                  <w:tcBorders>
                    <w:tl2br w:val="nil"/>
                    <w:tr2bl w:val="nil"/>
                  </w:tcBorders>
                  <w:vAlign w:val="center"/>
                </w:tcPr>
                <w:p w14:paraId="2C1C5D0A">
                  <w:pPr>
                    <w:pStyle w:val="41"/>
                    <w:rPr>
                      <w:color w:val="auto"/>
                    </w:rPr>
                  </w:pPr>
                  <w:r>
                    <w:rPr>
                      <w:color w:val="auto"/>
                    </w:rPr>
                    <w:t>400</w:t>
                  </w:r>
                </w:p>
              </w:tc>
              <w:tc>
                <w:tcPr>
                  <w:tcW w:w="1298" w:type="pct"/>
                  <w:tcBorders>
                    <w:tl2br w:val="nil"/>
                    <w:tr2bl w:val="nil"/>
                  </w:tcBorders>
                  <w:vAlign w:val="center"/>
                </w:tcPr>
                <w:p w14:paraId="572A228C">
                  <w:pPr>
                    <w:pStyle w:val="41"/>
                    <w:rPr>
                      <w:color w:val="auto"/>
                    </w:rPr>
                  </w:pPr>
                  <w:r>
                    <w:rPr>
                      <w:color w:val="auto"/>
                    </w:rPr>
                    <w:t>10</w:t>
                  </w:r>
                </w:p>
              </w:tc>
              <w:tc>
                <w:tcPr>
                  <w:tcW w:w="1298" w:type="pct"/>
                  <w:tcBorders>
                    <w:tl2br w:val="nil"/>
                    <w:tr2bl w:val="nil"/>
                  </w:tcBorders>
                  <w:shd w:val="clear" w:color="auto" w:fill="auto"/>
                  <w:vAlign w:val="center"/>
                </w:tcPr>
                <w:p w14:paraId="781B92B5">
                  <w:pPr>
                    <w:pStyle w:val="41"/>
                    <w:rPr>
                      <w:color w:val="auto"/>
                      <w:lang w:val="en-US" w:eastAsia="zh-CN"/>
                    </w:rPr>
                  </w:pPr>
                  <w:r>
                    <w:rPr>
                      <w:rFonts w:hint="eastAsia"/>
                      <w:color w:val="auto"/>
                    </w:rPr>
                    <w:t>1</w:t>
                  </w:r>
                  <w:r>
                    <w:rPr>
                      <w:color w:val="auto"/>
                    </w:rPr>
                    <w:t>0</w:t>
                  </w:r>
                </w:p>
              </w:tc>
            </w:tr>
            <w:tr w14:paraId="41C2657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777" w:type="pct"/>
                  <w:tcBorders>
                    <w:tl2br w:val="nil"/>
                    <w:tr2bl w:val="nil"/>
                  </w:tcBorders>
                  <w:vAlign w:val="center"/>
                </w:tcPr>
                <w:p w14:paraId="64EA5CC4">
                  <w:pPr>
                    <w:pStyle w:val="41"/>
                    <w:rPr>
                      <w:color w:val="auto"/>
                    </w:rPr>
                  </w:pPr>
                  <w:r>
                    <w:rPr>
                      <w:color w:val="auto"/>
                    </w:rPr>
                    <w:t>氨氮</w:t>
                  </w:r>
                </w:p>
              </w:tc>
              <w:tc>
                <w:tcPr>
                  <w:tcW w:w="1624" w:type="pct"/>
                  <w:tcBorders>
                    <w:tl2br w:val="nil"/>
                    <w:tr2bl w:val="nil"/>
                  </w:tcBorders>
                  <w:vAlign w:val="center"/>
                </w:tcPr>
                <w:p w14:paraId="0DF5C02B">
                  <w:pPr>
                    <w:pStyle w:val="41"/>
                    <w:rPr>
                      <w:color w:val="auto"/>
                    </w:rPr>
                  </w:pPr>
                  <w:r>
                    <w:rPr>
                      <w:color w:val="auto"/>
                    </w:rPr>
                    <w:t>45</w:t>
                  </w:r>
                </w:p>
              </w:tc>
              <w:tc>
                <w:tcPr>
                  <w:tcW w:w="1298" w:type="pct"/>
                  <w:tcBorders>
                    <w:tl2br w:val="nil"/>
                    <w:tr2bl w:val="nil"/>
                  </w:tcBorders>
                  <w:vAlign w:val="center"/>
                </w:tcPr>
                <w:p w14:paraId="27D9F9DB">
                  <w:pPr>
                    <w:pStyle w:val="41"/>
                    <w:rPr>
                      <w:color w:val="auto"/>
                    </w:rPr>
                  </w:pPr>
                  <w:r>
                    <w:rPr>
                      <w:color w:val="auto"/>
                    </w:rPr>
                    <w:t>4（6）*</w:t>
                  </w:r>
                </w:p>
              </w:tc>
              <w:tc>
                <w:tcPr>
                  <w:tcW w:w="1298" w:type="pct"/>
                  <w:tcBorders>
                    <w:tl2br w:val="nil"/>
                    <w:tr2bl w:val="nil"/>
                  </w:tcBorders>
                  <w:shd w:val="clear" w:color="auto" w:fill="auto"/>
                  <w:vAlign w:val="center"/>
                </w:tcPr>
                <w:p w14:paraId="68372335">
                  <w:pPr>
                    <w:pStyle w:val="41"/>
                    <w:rPr>
                      <w:color w:val="auto"/>
                      <w:lang w:val="en-US" w:eastAsia="zh-CN"/>
                    </w:rPr>
                  </w:pPr>
                  <w:r>
                    <w:rPr>
                      <w:rFonts w:hint="eastAsia"/>
                      <w:color w:val="auto"/>
                    </w:rPr>
                    <w:t>1</w:t>
                  </w:r>
                  <w:r>
                    <w:rPr>
                      <w:color w:val="auto"/>
                    </w:rPr>
                    <w:t>.5</w:t>
                  </w:r>
                  <w:r>
                    <w:rPr>
                      <w:rFonts w:hint="eastAsia"/>
                      <w:color w:val="auto"/>
                    </w:rPr>
                    <w:t>（3）</w:t>
                  </w:r>
                  <w:r>
                    <w:rPr>
                      <w:color w:val="auto"/>
                    </w:rPr>
                    <w:t>*</w:t>
                  </w:r>
                </w:p>
              </w:tc>
            </w:tr>
            <w:tr w14:paraId="398B38A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77" w:type="pct"/>
                  <w:tcBorders>
                    <w:tl2br w:val="nil"/>
                    <w:tr2bl w:val="nil"/>
                  </w:tcBorders>
                  <w:vAlign w:val="center"/>
                </w:tcPr>
                <w:p w14:paraId="3AE47638">
                  <w:pPr>
                    <w:pStyle w:val="41"/>
                    <w:rPr>
                      <w:color w:val="auto"/>
                    </w:rPr>
                  </w:pPr>
                  <w:r>
                    <w:rPr>
                      <w:color w:val="auto"/>
                    </w:rPr>
                    <w:t>总磷</w:t>
                  </w:r>
                </w:p>
              </w:tc>
              <w:tc>
                <w:tcPr>
                  <w:tcW w:w="1624" w:type="pct"/>
                  <w:tcBorders>
                    <w:tl2br w:val="nil"/>
                    <w:tr2bl w:val="nil"/>
                  </w:tcBorders>
                  <w:vAlign w:val="center"/>
                </w:tcPr>
                <w:p w14:paraId="69980567">
                  <w:pPr>
                    <w:pStyle w:val="41"/>
                    <w:rPr>
                      <w:color w:val="auto"/>
                    </w:rPr>
                  </w:pPr>
                  <w:r>
                    <w:rPr>
                      <w:color w:val="auto"/>
                    </w:rPr>
                    <w:t>8</w:t>
                  </w:r>
                </w:p>
              </w:tc>
              <w:tc>
                <w:tcPr>
                  <w:tcW w:w="1298" w:type="pct"/>
                  <w:tcBorders>
                    <w:tl2br w:val="nil"/>
                    <w:tr2bl w:val="nil"/>
                  </w:tcBorders>
                  <w:vAlign w:val="center"/>
                </w:tcPr>
                <w:p w14:paraId="08143011">
                  <w:pPr>
                    <w:pStyle w:val="41"/>
                    <w:rPr>
                      <w:color w:val="auto"/>
                    </w:rPr>
                  </w:pPr>
                  <w:r>
                    <w:rPr>
                      <w:color w:val="auto"/>
                    </w:rPr>
                    <w:t>0.5</w:t>
                  </w:r>
                </w:p>
              </w:tc>
              <w:tc>
                <w:tcPr>
                  <w:tcW w:w="1298" w:type="pct"/>
                  <w:tcBorders>
                    <w:tl2br w:val="nil"/>
                    <w:tr2bl w:val="nil"/>
                  </w:tcBorders>
                  <w:shd w:val="clear" w:color="auto" w:fill="auto"/>
                  <w:vAlign w:val="center"/>
                </w:tcPr>
                <w:p w14:paraId="7B137A82">
                  <w:pPr>
                    <w:pStyle w:val="41"/>
                    <w:rPr>
                      <w:color w:val="auto"/>
                      <w:lang w:val="en-US" w:eastAsia="zh-CN"/>
                    </w:rPr>
                  </w:pPr>
                  <w:r>
                    <w:rPr>
                      <w:rFonts w:hint="eastAsia"/>
                      <w:color w:val="auto"/>
                    </w:rPr>
                    <w:t>0</w:t>
                  </w:r>
                  <w:r>
                    <w:rPr>
                      <w:color w:val="auto"/>
                    </w:rPr>
                    <w:t>.3</w:t>
                  </w:r>
                </w:p>
              </w:tc>
            </w:tr>
            <w:tr w14:paraId="7181B6A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77" w:type="pct"/>
                  <w:tcBorders>
                    <w:tl2br w:val="nil"/>
                    <w:tr2bl w:val="nil"/>
                  </w:tcBorders>
                  <w:vAlign w:val="center"/>
                </w:tcPr>
                <w:p w14:paraId="404842E1">
                  <w:pPr>
                    <w:pStyle w:val="41"/>
                    <w:rPr>
                      <w:color w:val="auto"/>
                    </w:rPr>
                  </w:pPr>
                  <w:r>
                    <w:rPr>
                      <w:color w:val="auto"/>
                    </w:rPr>
                    <w:t>总氮</w:t>
                  </w:r>
                </w:p>
              </w:tc>
              <w:tc>
                <w:tcPr>
                  <w:tcW w:w="1624" w:type="pct"/>
                  <w:tcBorders>
                    <w:tl2br w:val="nil"/>
                    <w:tr2bl w:val="nil"/>
                  </w:tcBorders>
                  <w:vAlign w:val="center"/>
                </w:tcPr>
                <w:p w14:paraId="2F3A79E5">
                  <w:pPr>
                    <w:pStyle w:val="41"/>
                    <w:rPr>
                      <w:color w:val="auto"/>
                    </w:rPr>
                  </w:pPr>
                  <w:r>
                    <w:rPr>
                      <w:color w:val="auto"/>
                    </w:rPr>
                    <w:t>70</w:t>
                  </w:r>
                </w:p>
              </w:tc>
              <w:tc>
                <w:tcPr>
                  <w:tcW w:w="1298" w:type="pct"/>
                  <w:tcBorders>
                    <w:tl2br w:val="nil"/>
                    <w:tr2bl w:val="nil"/>
                  </w:tcBorders>
                  <w:vAlign w:val="center"/>
                </w:tcPr>
                <w:p w14:paraId="71631CF5">
                  <w:pPr>
                    <w:pStyle w:val="41"/>
                    <w:rPr>
                      <w:color w:val="auto"/>
                    </w:rPr>
                  </w:pPr>
                  <w:r>
                    <w:rPr>
                      <w:color w:val="auto"/>
                    </w:rPr>
                    <w:t>12（15）*</w:t>
                  </w:r>
                </w:p>
              </w:tc>
              <w:tc>
                <w:tcPr>
                  <w:tcW w:w="1298" w:type="pct"/>
                  <w:tcBorders>
                    <w:tl2br w:val="nil"/>
                    <w:tr2bl w:val="nil"/>
                  </w:tcBorders>
                  <w:shd w:val="clear" w:color="auto" w:fill="auto"/>
                  <w:vAlign w:val="center"/>
                </w:tcPr>
                <w:p w14:paraId="3F2EAAC5">
                  <w:pPr>
                    <w:pStyle w:val="41"/>
                    <w:rPr>
                      <w:color w:val="auto"/>
                      <w:lang w:val="en-US" w:eastAsia="zh-CN"/>
                    </w:rPr>
                  </w:pPr>
                  <w:r>
                    <w:rPr>
                      <w:rFonts w:hint="eastAsia"/>
                      <w:color w:val="auto"/>
                    </w:rPr>
                    <w:t>1</w:t>
                  </w:r>
                  <w:r>
                    <w:rPr>
                      <w:color w:val="auto"/>
                    </w:rPr>
                    <w:t>0</w:t>
                  </w:r>
                  <w:r>
                    <w:rPr>
                      <w:rFonts w:hint="eastAsia"/>
                      <w:color w:val="auto"/>
                    </w:rPr>
                    <w:t>（1</w:t>
                  </w:r>
                  <w:r>
                    <w:rPr>
                      <w:color w:val="auto"/>
                    </w:rPr>
                    <w:t>2</w:t>
                  </w:r>
                  <w:r>
                    <w:rPr>
                      <w:rFonts w:hint="eastAsia"/>
                      <w:color w:val="auto"/>
                    </w:rPr>
                    <w:t>）</w:t>
                  </w:r>
                  <w:r>
                    <w:rPr>
                      <w:color w:val="auto"/>
                    </w:rPr>
                    <w:t>*</w:t>
                  </w:r>
                </w:p>
              </w:tc>
            </w:tr>
          </w:tbl>
          <w:p w14:paraId="6FFFA5B6">
            <w:pPr>
              <w:autoSpaceDE w:val="0"/>
              <w:autoSpaceDN w:val="0"/>
              <w:adjustRightInd w:val="0"/>
              <w:snapToGrid w:val="0"/>
              <w:rPr>
                <w:color w:val="auto"/>
                <w:sz w:val="18"/>
                <w:szCs w:val="18"/>
              </w:rPr>
            </w:pPr>
            <w:r>
              <w:rPr>
                <w:color w:val="auto"/>
                <w:sz w:val="18"/>
                <w:szCs w:val="18"/>
              </w:rPr>
              <w:t>注：*括号外数值为水温＞12℃时的控制指标，括号内数值为水温≤12℃时的控制指标。</w:t>
            </w:r>
          </w:p>
          <w:p w14:paraId="3D852351">
            <w:pPr>
              <w:kinsoku w:val="0"/>
              <w:overflowPunct w:val="0"/>
              <w:autoSpaceDE w:val="0"/>
              <w:autoSpaceDN w:val="0"/>
              <w:adjustRightInd w:val="0"/>
              <w:snapToGrid w:val="0"/>
              <w:rPr>
                <w:rFonts w:ascii="宋体" w:hAnsi="宋体" w:cs="宋体"/>
                <w:b/>
                <w:bCs/>
                <w:color w:val="auto"/>
                <w:sz w:val="24"/>
                <w:szCs w:val="24"/>
              </w:rPr>
            </w:pPr>
            <w:r>
              <w:rPr>
                <w:rFonts w:hint="eastAsia" w:ascii="宋体" w:hAnsi="宋体" w:cs="宋体"/>
                <w:b/>
                <w:bCs/>
                <w:color w:val="auto"/>
                <w:sz w:val="24"/>
                <w:szCs w:val="24"/>
              </w:rPr>
              <w:t>3、厂界噪声</w:t>
            </w:r>
          </w:p>
          <w:p w14:paraId="37A8B012">
            <w:pPr>
              <w:ind w:firstLine="480"/>
              <w:rPr>
                <w:color w:val="auto"/>
                <w:sz w:val="24"/>
                <w:szCs w:val="24"/>
              </w:rPr>
            </w:pPr>
            <w:r>
              <w:rPr>
                <w:color w:val="auto"/>
                <w:sz w:val="24"/>
                <w:szCs w:val="24"/>
              </w:rPr>
              <w:t>根据市政府办公室关于印发《江阴市声环境功能区划分调整方案》的通知（澄政办发〔2020〕71号），本项目位于2类声环境功能区。本项目南侧临长青路，属于道路交通干线，且距离本项目生产车间在35米范围内，因此本项目南侧的厂界噪声执行《工业企业厂界环境噪声排放标准》（GB12348-2008）表1中4类标准，其他厂界噪声执行《工业企业厂界环境噪声排放标准》（GB12348-2008）表1中2类标准。</w:t>
            </w:r>
          </w:p>
          <w:p w14:paraId="5D776D9E">
            <w:pPr>
              <w:adjustRightInd w:val="0"/>
              <w:snapToGrid w:val="0"/>
              <w:spacing w:line="240" w:lineRule="auto"/>
              <w:jc w:val="center"/>
              <w:rPr>
                <w:b/>
                <w:bCs/>
                <w:color w:val="auto"/>
                <w:sz w:val="24"/>
                <w:szCs w:val="24"/>
              </w:rPr>
            </w:pPr>
            <w:r>
              <w:rPr>
                <w:rFonts w:hint="eastAsia"/>
                <w:b/>
                <w:bCs/>
                <w:color w:val="auto"/>
                <w:sz w:val="24"/>
                <w:szCs w:val="24"/>
              </w:rPr>
              <w:t>表3-</w:t>
            </w:r>
            <w:r>
              <w:rPr>
                <w:rFonts w:hint="eastAsia"/>
                <w:b/>
                <w:bCs/>
                <w:color w:val="auto"/>
                <w:sz w:val="24"/>
                <w:szCs w:val="24"/>
                <w:lang w:val="en-US" w:eastAsia="zh-CN"/>
              </w:rPr>
              <w:t>9</w:t>
            </w:r>
            <w:r>
              <w:rPr>
                <w:rFonts w:hint="eastAsia"/>
                <w:b/>
                <w:bCs/>
                <w:color w:val="auto"/>
                <w:sz w:val="24"/>
                <w:szCs w:val="24"/>
              </w:rPr>
              <w:t>噪声排放标准限值表</w:t>
            </w:r>
          </w:p>
          <w:tbl>
            <w:tblPr>
              <w:tblStyle w:val="26"/>
              <w:tblW w:w="4985"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648"/>
              <w:gridCol w:w="3454"/>
              <w:gridCol w:w="1396"/>
              <w:gridCol w:w="1392"/>
            </w:tblGrid>
            <w:tr w14:paraId="3CC6253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37" w:hRule="atLeast"/>
                <w:jc w:val="center"/>
              </w:trPr>
              <w:tc>
                <w:tcPr>
                  <w:tcW w:w="1050" w:type="pct"/>
                  <w:vMerge w:val="restart"/>
                  <w:tcBorders>
                    <w:tl2br w:val="nil"/>
                    <w:tr2bl w:val="nil"/>
                  </w:tcBorders>
                  <w:vAlign w:val="center"/>
                </w:tcPr>
                <w:p w14:paraId="49B52063">
                  <w:pPr>
                    <w:pStyle w:val="41"/>
                    <w:rPr>
                      <w:color w:val="auto"/>
                    </w:rPr>
                  </w:pPr>
                  <w:r>
                    <w:rPr>
                      <w:color w:val="auto"/>
                    </w:rPr>
                    <w:t>位置</w:t>
                  </w:r>
                </w:p>
              </w:tc>
              <w:tc>
                <w:tcPr>
                  <w:tcW w:w="2194" w:type="pct"/>
                  <w:vMerge w:val="restart"/>
                  <w:tcBorders>
                    <w:tl2br w:val="nil"/>
                    <w:tr2bl w:val="nil"/>
                  </w:tcBorders>
                  <w:vAlign w:val="center"/>
                </w:tcPr>
                <w:p w14:paraId="44A85593">
                  <w:pPr>
                    <w:pStyle w:val="41"/>
                    <w:rPr>
                      <w:color w:val="auto"/>
                    </w:rPr>
                  </w:pPr>
                  <w:r>
                    <w:rPr>
                      <w:color w:val="auto"/>
                    </w:rPr>
                    <w:t>执行标准</w:t>
                  </w:r>
                </w:p>
              </w:tc>
              <w:tc>
                <w:tcPr>
                  <w:tcW w:w="1754" w:type="pct"/>
                  <w:gridSpan w:val="2"/>
                  <w:tcBorders>
                    <w:tl2br w:val="nil"/>
                    <w:tr2bl w:val="nil"/>
                  </w:tcBorders>
                  <w:vAlign w:val="center"/>
                </w:tcPr>
                <w:p w14:paraId="08E7B98E">
                  <w:pPr>
                    <w:pStyle w:val="41"/>
                    <w:rPr>
                      <w:color w:val="auto"/>
                    </w:rPr>
                  </w:pPr>
                  <w:r>
                    <w:rPr>
                      <w:color w:val="auto"/>
                    </w:rPr>
                    <w:t>时段</w:t>
                  </w:r>
                </w:p>
              </w:tc>
            </w:tr>
            <w:tr w14:paraId="23C9E36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137" w:hRule="atLeast"/>
                <w:jc w:val="center"/>
              </w:trPr>
              <w:tc>
                <w:tcPr>
                  <w:tcW w:w="1050" w:type="pct"/>
                  <w:vMerge w:val="continue"/>
                  <w:tcBorders>
                    <w:tl2br w:val="nil"/>
                    <w:tr2bl w:val="nil"/>
                  </w:tcBorders>
                  <w:vAlign w:val="center"/>
                </w:tcPr>
                <w:p w14:paraId="188DDA3D">
                  <w:pPr>
                    <w:pStyle w:val="41"/>
                    <w:rPr>
                      <w:color w:val="auto"/>
                    </w:rPr>
                  </w:pPr>
                </w:p>
              </w:tc>
              <w:tc>
                <w:tcPr>
                  <w:tcW w:w="2194" w:type="pct"/>
                  <w:vMerge w:val="continue"/>
                  <w:tcBorders>
                    <w:tl2br w:val="nil"/>
                    <w:tr2bl w:val="nil"/>
                  </w:tcBorders>
                  <w:vAlign w:val="center"/>
                </w:tcPr>
                <w:p w14:paraId="14FA1F4B">
                  <w:pPr>
                    <w:pStyle w:val="41"/>
                    <w:rPr>
                      <w:color w:val="auto"/>
                    </w:rPr>
                  </w:pPr>
                </w:p>
              </w:tc>
              <w:tc>
                <w:tcPr>
                  <w:tcW w:w="876" w:type="pct"/>
                  <w:tcBorders>
                    <w:tl2br w:val="nil"/>
                    <w:tr2bl w:val="nil"/>
                  </w:tcBorders>
                  <w:vAlign w:val="center"/>
                </w:tcPr>
                <w:p w14:paraId="5A8F3E83">
                  <w:pPr>
                    <w:widowControl/>
                    <w:spacing w:line="240" w:lineRule="auto"/>
                    <w:jc w:val="center"/>
                    <w:rPr>
                      <w:color w:val="auto"/>
                    </w:rPr>
                  </w:pPr>
                  <w:r>
                    <w:rPr>
                      <w:color w:val="auto"/>
                      <w:kern w:val="0"/>
                      <w:lang w:bidi="ar"/>
                    </w:rPr>
                    <w:t>昼间</w:t>
                  </w:r>
                </w:p>
                <w:p w14:paraId="445DFF42">
                  <w:pPr>
                    <w:widowControl/>
                    <w:spacing w:line="240" w:lineRule="auto"/>
                    <w:jc w:val="center"/>
                    <w:rPr>
                      <w:color w:val="auto"/>
                    </w:rPr>
                  </w:pPr>
                  <w:r>
                    <w:rPr>
                      <w:color w:val="auto"/>
                      <w:kern w:val="0"/>
                      <w:lang w:bidi="ar"/>
                    </w:rPr>
                    <w:t>（6:00~22:00）</w:t>
                  </w:r>
                </w:p>
              </w:tc>
              <w:tc>
                <w:tcPr>
                  <w:tcW w:w="878" w:type="pct"/>
                  <w:tcBorders>
                    <w:tl2br w:val="nil"/>
                    <w:tr2bl w:val="nil"/>
                  </w:tcBorders>
                  <w:vAlign w:val="center"/>
                </w:tcPr>
                <w:p w14:paraId="65164E62">
                  <w:pPr>
                    <w:widowControl/>
                    <w:spacing w:line="240" w:lineRule="auto"/>
                    <w:jc w:val="center"/>
                    <w:rPr>
                      <w:color w:val="auto"/>
                    </w:rPr>
                  </w:pPr>
                  <w:r>
                    <w:rPr>
                      <w:color w:val="auto"/>
                      <w:kern w:val="0"/>
                      <w:lang w:bidi="ar"/>
                    </w:rPr>
                    <w:t>夜间（22:00~6:00）</w:t>
                  </w:r>
                </w:p>
              </w:tc>
            </w:tr>
            <w:tr w14:paraId="4C50A6A9">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1050" w:type="pct"/>
                  <w:tcBorders>
                    <w:tl2br w:val="nil"/>
                    <w:tr2bl w:val="nil"/>
                  </w:tcBorders>
                  <w:vAlign w:val="center"/>
                </w:tcPr>
                <w:p w14:paraId="13261CDF">
                  <w:pPr>
                    <w:pStyle w:val="41"/>
                    <w:rPr>
                      <w:color w:val="auto"/>
                    </w:rPr>
                  </w:pPr>
                  <w:r>
                    <w:rPr>
                      <w:color w:val="auto"/>
                    </w:rPr>
                    <w:t>东、西、北厂界</w:t>
                  </w:r>
                </w:p>
              </w:tc>
              <w:tc>
                <w:tcPr>
                  <w:tcW w:w="2194" w:type="pct"/>
                  <w:tcBorders>
                    <w:tl2br w:val="nil"/>
                    <w:tr2bl w:val="nil"/>
                  </w:tcBorders>
                  <w:vAlign w:val="center"/>
                </w:tcPr>
                <w:p w14:paraId="382E55CD">
                  <w:pPr>
                    <w:pStyle w:val="41"/>
                    <w:rPr>
                      <w:color w:val="auto"/>
                    </w:rPr>
                  </w:pPr>
                  <w:r>
                    <w:rPr>
                      <w:color w:val="auto"/>
                    </w:rPr>
                    <w:t>《工业企业厂界环境噪声排放标准》（GB12348-2008）中2类</w:t>
                  </w:r>
                </w:p>
              </w:tc>
              <w:tc>
                <w:tcPr>
                  <w:tcW w:w="877" w:type="pct"/>
                  <w:tcBorders>
                    <w:tl2br w:val="nil"/>
                    <w:tr2bl w:val="nil"/>
                  </w:tcBorders>
                  <w:vAlign w:val="center"/>
                </w:tcPr>
                <w:p w14:paraId="649E7B8D">
                  <w:pPr>
                    <w:pStyle w:val="41"/>
                    <w:rPr>
                      <w:color w:val="auto"/>
                    </w:rPr>
                  </w:pPr>
                  <w:r>
                    <w:rPr>
                      <w:color w:val="auto"/>
                    </w:rPr>
                    <w:t>60dB(A)</w:t>
                  </w:r>
                </w:p>
              </w:tc>
              <w:tc>
                <w:tcPr>
                  <w:tcW w:w="877" w:type="pct"/>
                  <w:tcBorders>
                    <w:tl2br w:val="nil"/>
                    <w:tr2bl w:val="nil"/>
                  </w:tcBorders>
                  <w:vAlign w:val="center"/>
                </w:tcPr>
                <w:p w14:paraId="2EF6C783">
                  <w:pPr>
                    <w:pStyle w:val="41"/>
                    <w:rPr>
                      <w:color w:val="auto"/>
                    </w:rPr>
                  </w:pPr>
                  <w:r>
                    <w:rPr>
                      <w:color w:val="auto"/>
                    </w:rPr>
                    <w:t>50dB(A)</w:t>
                  </w:r>
                </w:p>
              </w:tc>
            </w:tr>
            <w:tr w14:paraId="3941A083">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1050" w:type="pct"/>
                  <w:tcBorders>
                    <w:tl2br w:val="nil"/>
                    <w:tr2bl w:val="nil"/>
                  </w:tcBorders>
                  <w:vAlign w:val="center"/>
                </w:tcPr>
                <w:p w14:paraId="4D167277">
                  <w:pPr>
                    <w:pStyle w:val="41"/>
                    <w:rPr>
                      <w:color w:val="auto"/>
                    </w:rPr>
                  </w:pPr>
                  <w:r>
                    <w:rPr>
                      <w:color w:val="auto"/>
                    </w:rPr>
                    <w:t>南厂界</w:t>
                  </w:r>
                </w:p>
              </w:tc>
              <w:tc>
                <w:tcPr>
                  <w:tcW w:w="2194" w:type="pct"/>
                  <w:tcBorders>
                    <w:tl2br w:val="nil"/>
                    <w:tr2bl w:val="nil"/>
                  </w:tcBorders>
                  <w:vAlign w:val="center"/>
                </w:tcPr>
                <w:p w14:paraId="71322D99">
                  <w:pPr>
                    <w:pStyle w:val="41"/>
                    <w:rPr>
                      <w:color w:val="auto"/>
                    </w:rPr>
                  </w:pPr>
                  <w:r>
                    <w:rPr>
                      <w:color w:val="auto"/>
                    </w:rPr>
                    <w:t>《工业企业厂界环境噪声排放标准》（GB12348-2008）中4类</w:t>
                  </w:r>
                </w:p>
              </w:tc>
              <w:tc>
                <w:tcPr>
                  <w:tcW w:w="877" w:type="pct"/>
                  <w:tcBorders>
                    <w:tl2br w:val="nil"/>
                    <w:tr2bl w:val="nil"/>
                  </w:tcBorders>
                  <w:vAlign w:val="center"/>
                </w:tcPr>
                <w:p w14:paraId="2D0C35C7">
                  <w:pPr>
                    <w:pStyle w:val="41"/>
                    <w:rPr>
                      <w:color w:val="auto"/>
                    </w:rPr>
                  </w:pPr>
                  <w:r>
                    <w:rPr>
                      <w:color w:val="auto"/>
                    </w:rPr>
                    <w:t>70dB(A)</w:t>
                  </w:r>
                </w:p>
              </w:tc>
              <w:tc>
                <w:tcPr>
                  <w:tcW w:w="877" w:type="pct"/>
                  <w:tcBorders>
                    <w:tl2br w:val="nil"/>
                    <w:tr2bl w:val="nil"/>
                  </w:tcBorders>
                  <w:vAlign w:val="center"/>
                </w:tcPr>
                <w:p w14:paraId="4877DC0C">
                  <w:pPr>
                    <w:pStyle w:val="41"/>
                    <w:rPr>
                      <w:color w:val="auto"/>
                    </w:rPr>
                  </w:pPr>
                  <w:r>
                    <w:rPr>
                      <w:color w:val="auto"/>
                    </w:rPr>
                    <w:t>55dB(A)</w:t>
                  </w:r>
                </w:p>
              </w:tc>
            </w:tr>
          </w:tbl>
          <w:p w14:paraId="25B78780">
            <w:pPr>
              <w:kinsoku w:val="0"/>
              <w:overflowPunct w:val="0"/>
              <w:autoSpaceDE w:val="0"/>
              <w:autoSpaceDN w:val="0"/>
              <w:adjustRightInd w:val="0"/>
              <w:snapToGrid w:val="0"/>
              <w:rPr>
                <w:rFonts w:ascii="宋体" w:hAnsi="宋体" w:cs="宋体"/>
                <w:b/>
                <w:bCs/>
                <w:color w:val="auto"/>
                <w:sz w:val="24"/>
                <w:szCs w:val="24"/>
              </w:rPr>
            </w:pPr>
            <w:r>
              <w:rPr>
                <w:rFonts w:hint="eastAsia" w:ascii="宋体" w:hAnsi="宋体" w:cs="宋体"/>
                <w:b/>
                <w:bCs/>
                <w:color w:val="auto"/>
                <w:sz w:val="24"/>
                <w:szCs w:val="24"/>
              </w:rPr>
              <w:t>4、固废贮存标准</w:t>
            </w:r>
          </w:p>
          <w:p w14:paraId="0CD5FF09">
            <w:pPr>
              <w:ind w:firstLine="480"/>
              <w:rPr>
                <w:color w:val="auto"/>
              </w:rPr>
            </w:pPr>
            <w:r>
              <w:rPr>
                <w:rFonts w:hint="eastAsia"/>
                <w:color w:val="auto"/>
                <w:sz w:val="24"/>
                <w:szCs w:val="24"/>
              </w:rPr>
              <w:t>本项目一般工业固废的暂存需满足相应防渗漏、防雨淋、防扬尘等环境保护要求</w:t>
            </w:r>
            <w:r>
              <w:rPr>
                <w:color w:val="auto"/>
                <w:sz w:val="24"/>
                <w:szCs w:val="24"/>
              </w:rPr>
              <w:t>。危险废物执行《危险废物贮存污染控制标准》（GB18597-2023）、《危险废物收集储存运输技术规范》（HJ2025-2012）、《关于印发江苏省危险废物贮存规范化管理专项整治行动方案的通知》（苏环办〔20</w:t>
            </w:r>
            <w:r>
              <w:rPr>
                <w:rFonts w:hint="eastAsia"/>
                <w:color w:val="auto"/>
                <w:sz w:val="24"/>
                <w:szCs w:val="24"/>
              </w:rPr>
              <w:t>19</w:t>
            </w:r>
            <w:r>
              <w:rPr>
                <w:color w:val="auto"/>
                <w:sz w:val="24"/>
                <w:szCs w:val="24"/>
              </w:rPr>
              <w:t>〕149号）、《省生态环境厅关于进一步加强危险废物环境管理工作的通知》（苏环办〔20</w:t>
            </w:r>
            <w:r>
              <w:rPr>
                <w:rFonts w:hint="eastAsia"/>
                <w:color w:val="auto"/>
                <w:sz w:val="24"/>
                <w:szCs w:val="24"/>
              </w:rPr>
              <w:t>21</w:t>
            </w:r>
            <w:r>
              <w:rPr>
                <w:color w:val="auto"/>
                <w:sz w:val="24"/>
                <w:szCs w:val="24"/>
              </w:rPr>
              <w:t>〕207号）、《省生态环境厅关于做好江苏省危险废物全生命周期监控系统上线运行工作的通知》（苏环办〔20</w:t>
            </w:r>
            <w:r>
              <w:rPr>
                <w:rFonts w:hint="eastAsia"/>
                <w:color w:val="auto"/>
                <w:sz w:val="24"/>
                <w:szCs w:val="24"/>
              </w:rPr>
              <w:t>20</w:t>
            </w:r>
            <w:r>
              <w:rPr>
                <w:color w:val="auto"/>
                <w:sz w:val="24"/>
                <w:szCs w:val="24"/>
              </w:rPr>
              <w:t>〕401号）、《省生态环境厅关于印发《江苏省固体废物全过程环境监管工作意见》的通知》（苏环办〔20</w:t>
            </w:r>
            <w:r>
              <w:rPr>
                <w:rFonts w:hint="eastAsia"/>
                <w:color w:val="auto"/>
                <w:sz w:val="24"/>
                <w:szCs w:val="24"/>
              </w:rPr>
              <w:t>24</w:t>
            </w:r>
            <w:r>
              <w:rPr>
                <w:color w:val="auto"/>
                <w:sz w:val="24"/>
                <w:szCs w:val="24"/>
              </w:rPr>
              <w:t>〕16号）中相关要求。</w:t>
            </w:r>
          </w:p>
        </w:tc>
      </w:tr>
    </w:tbl>
    <w:p w14:paraId="5A8FDED0">
      <w:pPr>
        <w:rPr>
          <w:color w:val="auto"/>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tbl>
      <w:tblPr>
        <w:tblStyle w:val="26"/>
        <w:tblW w:w="134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2864"/>
      </w:tblGrid>
      <w:tr w14:paraId="74BC74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2" w:hRule="atLeast"/>
          <w:jc w:val="center"/>
        </w:trPr>
        <w:tc>
          <w:tcPr>
            <w:tcW w:w="635" w:type="dxa"/>
            <w:vAlign w:val="center"/>
          </w:tcPr>
          <w:p w14:paraId="5C63AD59">
            <w:pPr>
              <w:adjustRightInd w:val="0"/>
              <w:snapToGrid w:val="0"/>
              <w:jc w:val="center"/>
              <w:rPr>
                <w:color w:val="auto"/>
                <w:kern w:val="0"/>
                <w:sz w:val="24"/>
                <w:szCs w:val="24"/>
              </w:rPr>
            </w:pPr>
            <w:r>
              <w:rPr>
                <w:color w:val="auto"/>
                <w:kern w:val="0"/>
                <w:sz w:val="24"/>
                <w:szCs w:val="24"/>
              </w:rPr>
              <w:t>总量</w:t>
            </w:r>
          </w:p>
          <w:p w14:paraId="76FE1CB9">
            <w:pPr>
              <w:adjustRightInd w:val="0"/>
              <w:snapToGrid w:val="0"/>
              <w:jc w:val="center"/>
              <w:rPr>
                <w:color w:val="auto"/>
                <w:kern w:val="0"/>
                <w:sz w:val="24"/>
                <w:szCs w:val="24"/>
              </w:rPr>
            </w:pPr>
            <w:r>
              <w:rPr>
                <w:color w:val="auto"/>
                <w:kern w:val="0"/>
                <w:sz w:val="24"/>
                <w:szCs w:val="24"/>
              </w:rPr>
              <w:t>控制</w:t>
            </w:r>
          </w:p>
          <w:p w14:paraId="0DA0ECE8">
            <w:pPr>
              <w:adjustRightInd w:val="0"/>
              <w:snapToGrid w:val="0"/>
              <w:jc w:val="center"/>
              <w:rPr>
                <w:color w:val="auto"/>
                <w:kern w:val="0"/>
              </w:rPr>
            </w:pPr>
            <w:r>
              <w:rPr>
                <w:color w:val="auto"/>
                <w:kern w:val="0"/>
                <w:sz w:val="24"/>
                <w:szCs w:val="24"/>
              </w:rPr>
              <w:t>指标</w:t>
            </w:r>
          </w:p>
        </w:tc>
        <w:tc>
          <w:tcPr>
            <w:tcW w:w="12864" w:type="dxa"/>
            <w:vAlign w:val="center"/>
          </w:tcPr>
          <w:p w14:paraId="71AD31F5">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color w:val="auto"/>
                <w:sz w:val="24"/>
                <w:szCs w:val="24"/>
              </w:rPr>
            </w:pPr>
            <w:r>
              <w:rPr>
                <w:color w:val="auto"/>
                <w:sz w:val="24"/>
                <w:szCs w:val="24"/>
              </w:rPr>
              <w:t>根据《江阴市排污总量指标管理办法（试行）》（澄政办发〔2024〕11号）的要求，结合项目排污特征，确定总量控制因子为：</w:t>
            </w:r>
          </w:p>
          <w:p w14:paraId="1C626E41">
            <w:pPr>
              <w:keepNext w:val="0"/>
              <w:keepLines w:val="0"/>
              <w:pageBreakBefore w:val="0"/>
              <w:widowControl w:val="0"/>
              <w:kinsoku/>
              <w:wordWrap/>
              <w:overflowPunct/>
              <w:topLinePunct w:val="0"/>
              <w:autoSpaceDE/>
              <w:autoSpaceDN/>
              <w:bidi w:val="0"/>
              <w:snapToGrid w:val="0"/>
              <w:spacing w:line="312" w:lineRule="auto"/>
              <w:ind w:firstLine="480" w:firstLineChars="200"/>
              <w:textAlignment w:val="auto"/>
              <w:rPr>
                <w:color w:val="auto"/>
                <w:sz w:val="24"/>
                <w:szCs w:val="24"/>
              </w:rPr>
            </w:pPr>
            <w:r>
              <w:rPr>
                <w:rFonts w:hint="eastAsia"/>
                <w:color w:val="auto"/>
                <w:sz w:val="24"/>
                <w:szCs w:val="24"/>
              </w:rPr>
              <w:t>废气：非甲烷总烃；</w:t>
            </w:r>
          </w:p>
          <w:p w14:paraId="072C7CF9">
            <w:pPr>
              <w:keepNext w:val="0"/>
              <w:keepLines w:val="0"/>
              <w:pageBreakBefore w:val="0"/>
              <w:widowControl w:val="0"/>
              <w:kinsoku/>
              <w:wordWrap/>
              <w:overflowPunct/>
              <w:topLinePunct w:val="0"/>
              <w:autoSpaceDE/>
              <w:autoSpaceDN/>
              <w:bidi w:val="0"/>
              <w:snapToGrid w:val="0"/>
              <w:spacing w:line="312" w:lineRule="auto"/>
              <w:ind w:firstLine="480" w:firstLineChars="200"/>
              <w:textAlignment w:val="auto"/>
              <w:rPr>
                <w:color w:val="auto"/>
                <w:sz w:val="24"/>
                <w:szCs w:val="24"/>
              </w:rPr>
            </w:pPr>
            <w:r>
              <w:rPr>
                <w:rFonts w:hint="eastAsia"/>
                <w:color w:val="auto"/>
                <w:sz w:val="24"/>
                <w:szCs w:val="24"/>
              </w:rPr>
              <w:t>废水：</w:t>
            </w:r>
            <w:r>
              <w:rPr>
                <w:color w:val="auto"/>
                <w:sz w:val="24"/>
                <w:szCs w:val="24"/>
              </w:rPr>
              <w:t>COD</w:t>
            </w:r>
            <w:r>
              <w:rPr>
                <w:rFonts w:hint="eastAsia"/>
                <w:color w:val="auto"/>
                <w:sz w:val="24"/>
                <w:szCs w:val="24"/>
              </w:rPr>
              <w:t>、氨氮、</w:t>
            </w:r>
            <w:r>
              <w:rPr>
                <w:color w:val="auto"/>
                <w:sz w:val="24"/>
                <w:szCs w:val="24"/>
              </w:rPr>
              <w:t>TP</w:t>
            </w:r>
            <w:r>
              <w:rPr>
                <w:rFonts w:hint="eastAsia"/>
                <w:color w:val="auto"/>
                <w:sz w:val="24"/>
                <w:szCs w:val="24"/>
              </w:rPr>
              <w:t>、</w:t>
            </w:r>
            <w:r>
              <w:rPr>
                <w:color w:val="auto"/>
                <w:sz w:val="24"/>
                <w:szCs w:val="24"/>
              </w:rPr>
              <w:t>TN</w:t>
            </w:r>
            <w:r>
              <w:rPr>
                <w:rFonts w:hint="eastAsia"/>
                <w:color w:val="auto"/>
                <w:sz w:val="24"/>
                <w:szCs w:val="24"/>
              </w:rPr>
              <w:t>，</w:t>
            </w:r>
            <w:r>
              <w:rPr>
                <w:color w:val="auto"/>
                <w:sz w:val="24"/>
                <w:szCs w:val="24"/>
              </w:rPr>
              <w:t>SS</w:t>
            </w:r>
            <w:r>
              <w:rPr>
                <w:rFonts w:hint="eastAsia"/>
                <w:color w:val="auto"/>
                <w:sz w:val="24"/>
                <w:szCs w:val="24"/>
              </w:rPr>
              <w:t>（考核因子）；</w:t>
            </w:r>
          </w:p>
          <w:p w14:paraId="50C30943">
            <w:pPr>
              <w:keepNext w:val="0"/>
              <w:keepLines w:val="0"/>
              <w:pageBreakBefore w:val="0"/>
              <w:widowControl w:val="0"/>
              <w:kinsoku/>
              <w:wordWrap/>
              <w:overflowPunct/>
              <w:topLinePunct w:val="0"/>
              <w:autoSpaceDE/>
              <w:autoSpaceDN/>
              <w:bidi w:val="0"/>
              <w:snapToGrid w:val="0"/>
              <w:spacing w:line="312" w:lineRule="auto"/>
              <w:ind w:firstLine="480" w:firstLineChars="200"/>
              <w:textAlignment w:val="auto"/>
              <w:rPr>
                <w:color w:val="auto"/>
                <w:sz w:val="24"/>
                <w:szCs w:val="24"/>
              </w:rPr>
            </w:pPr>
            <w:r>
              <w:rPr>
                <w:rFonts w:hint="eastAsia"/>
                <w:color w:val="auto"/>
                <w:sz w:val="24"/>
                <w:szCs w:val="24"/>
              </w:rPr>
              <w:t>固废：总量控制因子为各类固废，排放总量为零。</w:t>
            </w:r>
          </w:p>
          <w:p w14:paraId="65474101">
            <w:pPr>
              <w:keepNext w:val="0"/>
              <w:keepLines w:val="0"/>
              <w:pageBreakBefore w:val="0"/>
              <w:widowControl w:val="0"/>
              <w:kinsoku/>
              <w:wordWrap/>
              <w:overflowPunct/>
              <w:topLinePunct w:val="0"/>
              <w:autoSpaceDE/>
              <w:autoSpaceDN/>
              <w:bidi w:val="0"/>
              <w:snapToGrid w:val="0"/>
              <w:spacing w:line="312" w:lineRule="auto"/>
              <w:ind w:firstLine="480" w:firstLineChars="200"/>
              <w:textAlignment w:val="auto"/>
              <w:rPr>
                <w:color w:val="auto"/>
                <w:sz w:val="24"/>
                <w:szCs w:val="24"/>
              </w:rPr>
            </w:pPr>
            <w:r>
              <w:rPr>
                <w:rFonts w:hint="eastAsia"/>
                <w:color w:val="auto"/>
                <w:sz w:val="24"/>
                <w:szCs w:val="24"/>
              </w:rPr>
              <w:t>建设项目污染物排放总量指标见表3-9。</w:t>
            </w:r>
          </w:p>
          <w:p w14:paraId="7995B241">
            <w:pPr>
              <w:adjustRightInd w:val="0"/>
              <w:snapToGrid w:val="0"/>
              <w:spacing w:line="240" w:lineRule="auto"/>
              <w:jc w:val="center"/>
              <w:rPr>
                <w:b/>
                <w:bCs/>
                <w:color w:val="auto"/>
                <w:sz w:val="24"/>
                <w:szCs w:val="24"/>
              </w:rPr>
            </w:pPr>
            <w:r>
              <w:rPr>
                <w:rFonts w:hint="eastAsia"/>
                <w:b/>
                <w:bCs/>
                <w:color w:val="auto"/>
                <w:sz w:val="24"/>
                <w:szCs w:val="24"/>
              </w:rPr>
              <w:t>表3-9      建设项目污染物排放总量指标    单位t/a</w:t>
            </w:r>
          </w:p>
          <w:tbl>
            <w:tblPr>
              <w:tblStyle w:val="26"/>
              <w:tblW w:w="501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9"/>
              <w:gridCol w:w="931"/>
              <w:gridCol w:w="2769"/>
              <w:gridCol w:w="1653"/>
              <w:gridCol w:w="1630"/>
              <w:gridCol w:w="1536"/>
              <w:gridCol w:w="1767"/>
              <w:gridCol w:w="1729"/>
            </w:tblGrid>
            <w:tr w14:paraId="04942C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67" w:type="pct"/>
                  <w:tcBorders>
                    <w:tl2br w:val="nil"/>
                    <w:tr2bl w:val="nil"/>
                  </w:tcBorders>
                  <w:vAlign w:val="center"/>
                </w:tcPr>
                <w:p w14:paraId="7EE46138">
                  <w:pPr>
                    <w:pStyle w:val="41"/>
                    <w:adjustRightInd w:val="0"/>
                    <w:rPr>
                      <w:color w:val="auto"/>
                    </w:rPr>
                  </w:pPr>
                  <w:r>
                    <w:rPr>
                      <w:color w:val="auto"/>
                    </w:rPr>
                    <w:t>类别</w:t>
                  </w:r>
                </w:p>
              </w:tc>
              <w:tc>
                <w:tcPr>
                  <w:tcW w:w="1457" w:type="pct"/>
                  <w:gridSpan w:val="2"/>
                  <w:tcBorders>
                    <w:tl2br w:val="nil"/>
                    <w:tr2bl w:val="nil"/>
                  </w:tcBorders>
                  <w:vAlign w:val="center"/>
                </w:tcPr>
                <w:p w14:paraId="1A729A0E">
                  <w:pPr>
                    <w:pStyle w:val="41"/>
                    <w:adjustRightInd w:val="0"/>
                    <w:rPr>
                      <w:color w:val="auto"/>
                    </w:rPr>
                  </w:pPr>
                  <w:r>
                    <w:rPr>
                      <w:color w:val="auto"/>
                    </w:rPr>
                    <w:t>污染物名称</w:t>
                  </w:r>
                </w:p>
              </w:tc>
              <w:tc>
                <w:tcPr>
                  <w:tcW w:w="651" w:type="pct"/>
                  <w:tcBorders>
                    <w:tl2br w:val="nil"/>
                    <w:tr2bl w:val="nil"/>
                  </w:tcBorders>
                  <w:vAlign w:val="center"/>
                </w:tcPr>
                <w:p w14:paraId="398CD68A">
                  <w:pPr>
                    <w:pStyle w:val="41"/>
                    <w:adjustRightInd w:val="0"/>
                    <w:rPr>
                      <w:color w:val="auto"/>
                    </w:rPr>
                  </w:pPr>
                  <w:r>
                    <w:rPr>
                      <w:color w:val="auto"/>
                    </w:rPr>
                    <w:t>产生量</w:t>
                  </w:r>
                </w:p>
              </w:tc>
              <w:tc>
                <w:tcPr>
                  <w:tcW w:w="642" w:type="pct"/>
                  <w:tcBorders>
                    <w:tl2br w:val="nil"/>
                    <w:tr2bl w:val="nil"/>
                  </w:tcBorders>
                  <w:vAlign w:val="center"/>
                </w:tcPr>
                <w:p w14:paraId="6B0F4299">
                  <w:pPr>
                    <w:pStyle w:val="41"/>
                    <w:adjustRightInd w:val="0"/>
                    <w:rPr>
                      <w:color w:val="auto"/>
                    </w:rPr>
                  </w:pPr>
                  <w:r>
                    <w:rPr>
                      <w:color w:val="auto"/>
                    </w:rPr>
                    <w:t>削减量</w:t>
                  </w:r>
                </w:p>
              </w:tc>
              <w:tc>
                <w:tcPr>
                  <w:tcW w:w="605" w:type="pct"/>
                  <w:tcBorders>
                    <w:tl2br w:val="nil"/>
                    <w:tr2bl w:val="nil"/>
                  </w:tcBorders>
                  <w:vAlign w:val="center"/>
                </w:tcPr>
                <w:p w14:paraId="437AD8F3">
                  <w:pPr>
                    <w:pStyle w:val="41"/>
                    <w:adjustRightInd w:val="0"/>
                    <w:rPr>
                      <w:rFonts w:hint="default"/>
                      <w:color w:val="auto"/>
                      <w:lang w:val="en-US"/>
                    </w:rPr>
                  </w:pPr>
                  <w:r>
                    <w:rPr>
                      <w:rFonts w:hint="eastAsia"/>
                      <w:color w:val="auto"/>
                      <w:lang w:val="en-US" w:eastAsia="zh-CN"/>
                    </w:rPr>
                    <w:t>本项目排放量</w:t>
                  </w:r>
                </w:p>
              </w:tc>
              <w:tc>
                <w:tcPr>
                  <w:tcW w:w="695" w:type="pct"/>
                  <w:tcBorders>
                    <w:tl2br w:val="nil"/>
                    <w:tr2bl w:val="nil"/>
                  </w:tcBorders>
                  <w:vAlign w:val="center"/>
                </w:tcPr>
                <w:p w14:paraId="5AE1B55F">
                  <w:pPr>
                    <w:pStyle w:val="41"/>
                    <w:adjustRightInd w:val="0"/>
                    <w:rPr>
                      <w:rFonts w:hint="default"/>
                      <w:color w:val="auto"/>
                      <w:lang w:val="en-US"/>
                    </w:rPr>
                  </w:pPr>
                  <w:r>
                    <w:rPr>
                      <w:rFonts w:hint="eastAsia"/>
                      <w:color w:val="auto"/>
                      <w:lang w:val="en-US" w:eastAsia="zh-CN"/>
                    </w:rPr>
                    <w:t>最终外排量</w:t>
                  </w:r>
                </w:p>
              </w:tc>
              <w:tc>
                <w:tcPr>
                  <w:tcW w:w="681" w:type="pct"/>
                  <w:tcBorders>
                    <w:tl2br w:val="nil"/>
                    <w:tr2bl w:val="nil"/>
                  </w:tcBorders>
                  <w:vAlign w:val="center"/>
                </w:tcPr>
                <w:p w14:paraId="1FF7E836">
                  <w:pPr>
                    <w:pStyle w:val="41"/>
                    <w:adjustRightInd w:val="0"/>
                    <w:rPr>
                      <w:rFonts w:hint="default"/>
                      <w:color w:val="auto"/>
                      <w:lang w:val="en-US"/>
                    </w:rPr>
                  </w:pPr>
                  <w:r>
                    <w:rPr>
                      <w:rFonts w:hint="eastAsia"/>
                      <w:color w:val="auto"/>
                      <w:lang w:val="en-US" w:eastAsia="zh-CN"/>
                    </w:rPr>
                    <w:t>排放增减量</w:t>
                  </w:r>
                </w:p>
              </w:tc>
            </w:tr>
            <w:tr w14:paraId="508CB1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67" w:type="pct"/>
                  <w:vMerge w:val="restart"/>
                  <w:tcBorders>
                    <w:tl2br w:val="nil"/>
                    <w:tr2bl w:val="nil"/>
                  </w:tcBorders>
                  <w:vAlign w:val="center"/>
                </w:tcPr>
                <w:p w14:paraId="437325F0">
                  <w:pPr>
                    <w:pStyle w:val="41"/>
                    <w:adjustRightInd w:val="0"/>
                    <w:rPr>
                      <w:color w:val="auto"/>
                    </w:rPr>
                  </w:pPr>
                  <w:r>
                    <w:rPr>
                      <w:color w:val="auto"/>
                    </w:rPr>
                    <w:t>废气</w:t>
                  </w:r>
                </w:p>
              </w:tc>
              <w:tc>
                <w:tcPr>
                  <w:tcW w:w="366" w:type="pct"/>
                  <w:tcBorders>
                    <w:tl2br w:val="nil"/>
                    <w:tr2bl w:val="nil"/>
                  </w:tcBorders>
                  <w:vAlign w:val="center"/>
                </w:tcPr>
                <w:p w14:paraId="33833DFB">
                  <w:pPr>
                    <w:pStyle w:val="41"/>
                    <w:adjustRightInd w:val="0"/>
                    <w:rPr>
                      <w:color w:val="auto"/>
                    </w:rPr>
                  </w:pPr>
                  <w:r>
                    <w:rPr>
                      <w:color w:val="auto"/>
                    </w:rPr>
                    <w:t>有组织</w:t>
                  </w:r>
                </w:p>
              </w:tc>
              <w:tc>
                <w:tcPr>
                  <w:tcW w:w="1090" w:type="pct"/>
                  <w:tcBorders>
                    <w:tl2br w:val="nil"/>
                    <w:tr2bl w:val="nil"/>
                  </w:tcBorders>
                  <w:vAlign w:val="center"/>
                </w:tcPr>
                <w:p w14:paraId="4CED9F33">
                  <w:pPr>
                    <w:pStyle w:val="41"/>
                    <w:adjustRightInd w:val="0"/>
                    <w:rPr>
                      <w:color w:val="auto"/>
                    </w:rPr>
                  </w:pPr>
                  <w:r>
                    <w:rPr>
                      <w:color w:val="auto"/>
                    </w:rPr>
                    <w:t>非甲烷总烃</w:t>
                  </w:r>
                </w:p>
              </w:tc>
              <w:tc>
                <w:tcPr>
                  <w:tcW w:w="651" w:type="pct"/>
                  <w:tcBorders>
                    <w:tl2br w:val="nil"/>
                    <w:tr2bl w:val="nil"/>
                  </w:tcBorders>
                  <w:vAlign w:val="center"/>
                </w:tcPr>
                <w:p w14:paraId="53013946">
                  <w:pPr>
                    <w:pStyle w:val="41"/>
                    <w:adjustRightInd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2.88</w:t>
                  </w:r>
                </w:p>
              </w:tc>
              <w:tc>
                <w:tcPr>
                  <w:tcW w:w="642" w:type="pct"/>
                  <w:tcBorders>
                    <w:tl2br w:val="nil"/>
                    <w:tr2bl w:val="nil"/>
                  </w:tcBorders>
                  <w:vAlign w:val="center"/>
                </w:tcPr>
                <w:p w14:paraId="70FF12C9">
                  <w:pPr>
                    <w:pStyle w:val="41"/>
                    <w:adjustRightInd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2.592</w:t>
                  </w:r>
                </w:p>
              </w:tc>
              <w:tc>
                <w:tcPr>
                  <w:tcW w:w="605" w:type="pct"/>
                  <w:tcBorders>
                    <w:tl2br w:val="nil"/>
                    <w:tr2bl w:val="nil"/>
                  </w:tcBorders>
                  <w:vAlign w:val="center"/>
                </w:tcPr>
                <w:p w14:paraId="0480997E">
                  <w:pPr>
                    <w:pStyle w:val="41"/>
                    <w:adjustRightInd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0.288</w:t>
                  </w:r>
                </w:p>
              </w:tc>
              <w:tc>
                <w:tcPr>
                  <w:tcW w:w="695" w:type="pct"/>
                  <w:tcBorders>
                    <w:tl2br w:val="nil"/>
                    <w:tr2bl w:val="nil"/>
                  </w:tcBorders>
                  <w:shd w:val="clear" w:color="auto" w:fill="auto"/>
                  <w:vAlign w:val="center"/>
                </w:tcPr>
                <w:p w14:paraId="548D1C9C">
                  <w:pPr>
                    <w:pStyle w:val="41"/>
                    <w:adjustRightInd w:val="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+0.288</w:t>
                  </w:r>
                </w:p>
              </w:tc>
              <w:tc>
                <w:tcPr>
                  <w:tcW w:w="681" w:type="pct"/>
                  <w:tcBorders>
                    <w:tl2br w:val="nil"/>
                    <w:tr2bl w:val="nil"/>
                  </w:tcBorders>
                  <w:shd w:val="clear" w:color="auto" w:fill="auto"/>
                  <w:vAlign w:val="center"/>
                </w:tcPr>
                <w:p w14:paraId="448F8276">
                  <w:pPr>
                    <w:pStyle w:val="41"/>
                    <w:adjustRightInd w:val="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+0.288</w:t>
                  </w:r>
                </w:p>
              </w:tc>
            </w:tr>
            <w:tr w14:paraId="3A5B5E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67" w:type="pct"/>
                  <w:vMerge w:val="continue"/>
                  <w:tcBorders>
                    <w:tl2br w:val="nil"/>
                    <w:tr2bl w:val="nil"/>
                  </w:tcBorders>
                  <w:vAlign w:val="center"/>
                </w:tcPr>
                <w:p w14:paraId="407009F2">
                  <w:pPr>
                    <w:pStyle w:val="41"/>
                    <w:adjustRightInd w:val="0"/>
                    <w:rPr>
                      <w:color w:val="auto"/>
                    </w:rPr>
                  </w:pPr>
                </w:p>
              </w:tc>
              <w:tc>
                <w:tcPr>
                  <w:tcW w:w="366" w:type="pct"/>
                  <w:tcBorders>
                    <w:tl2br w:val="nil"/>
                    <w:tr2bl w:val="nil"/>
                  </w:tcBorders>
                  <w:vAlign w:val="center"/>
                </w:tcPr>
                <w:p w14:paraId="253A6FCB">
                  <w:pPr>
                    <w:pStyle w:val="41"/>
                    <w:adjustRightInd w:val="0"/>
                    <w:rPr>
                      <w:color w:val="auto"/>
                    </w:rPr>
                  </w:pPr>
                  <w:r>
                    <w:rPr>
                      <w:color w:val="auto"/>
                    </w:rPr>
                    <w:t>无组织</w:t>
                  </w:r>
                </w:p>
              </w:tc>
              <w:tc>
                <w:tcPr>
                  <w:tcW w:w="1090" w:type="pct"/>
                  <w:tcBorders>
                    <w:tl2br w:val="nil"/>
                    <w:tr2bl w:val="nil"/>
                  </w:tcBorders>
                  <w:vAlign w:val="center"/>
                </w:tcPr>
                <w:p w14:paraId="4DDF8148">
                  <w:pPr>
                    <w:pStyle w:val="41"/>
                    <w:adjustRightInd w:val="0"/>
                    <w:rPr>
                      <w:color w:val="auto"/>
                    </w:rPr>
                  </w:pPr>
                  <w:r>
                    <w:rPr>
                      <w:color w:val="auto"/>
                    </w:rPr>
                    <w:t>非甲烷总烃</w:t>
                  </w:r>
                </w:p>
              </w:tc>
              <w:tc>
                <w:tcPr>
                  <w:tcW w:w="651" w:type="pct"/>
                  <w:tcBorders>
                    <w:tl2br w:val="nil"/>
                    <w:tr2bl w:val="nil"/>
                  </w:tcBorders>
                  <w:vAlign w:val="center"/>
                </w:tcPr>
                <w:p w14:paraId="126F8C63">
                  <w:pPr>
                    <w:pStyle w:val="41"/>
                    <w:adjustRightInd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0.32</w:t>
                  </w:r>
                </w:p>
              </w:tc>
              <w:tc>
                <w:tcPr>
                  <w:tcW w:w="642" w:type="pct"/>
                  <w:tcBorders>
                    <w:tl2br w:val="nil"/>
                    <w:tr2bl w:val="nil"/>
                  </w:tcBorders>
                  <w:vAlign w:val="center"/>
                </w:tcPr>
                <w:p w14:paraId="5C6974A6">
                  <w:pPr>
                    <w:pStyle w:val="41"/>
                    <w:adjustRightInd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w:t>
                  </w:r>
                </w:p>
              </w:tc>
              <w:tc>
                <w:tcPr>
                  <w:tcW w:w="605" w:type="pct"/>
                  <w:tcBorders>
                    <w:tl2br w:val="nil"/>
                    <w:tr2bl w:val="nil"/>
                  </w:tcBorders>
                  <w:vAlign w:val="center"/>
                </w:tcPr>
                <w:p w14:paraId="54ACF778">
                  <w:pPr>
                    <w:pStyle w:val="41"/>
                    <w:adjustRightInd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0.32</w:t>
                  </w:r>
                </w:p>
              </w:tc>
              <w:tc>
                <w:tcPr>
                  <w:tcW w:w="695" w:type="pct"/>
                  <w:tcBorders>
                    <w:tl2br w:val="nil"/>
                    <w:tr2bl w:val="nil"/>
                  </w:tcBorders>
                  <w:shd w:val="clear" w:color="auto" w:fill="auto"/>
                  <w:vAlign w:val="center"/>
                </w:tcPr>
                <w:p w14:paraId="0A9E9768">
                  <w:pPr>
                    <w:pStyle w:val="41"/>
                    <w:adjustRightInd w:val="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+0.32</w:t>
                  </w:r>
                </w:p>
              </w:tc>
              <w:tc>
                <w:tcPr>
                  <w:tcW w:w="681" w:type="pct"/>
                  <w:tcBorders>
                    <w:tl2br w:val="nil"/>
                    <w:tr2bl w:val="nil"/>
                  </w:tcBorders>
                  <w:shd w:val="clear" w:color="auto" w:fill="auto"/>
                  <w:vAlign w:val="center"/>
                </w:tcPr>
                <w:p w14:paraId="012317F9">
                  <w:pPr>
                    <w:pStyle w:val="41"/>
                    <w:adjustRightInd w:val="0"/>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+0.32</w:t>
                  </w:r>
                </w:p>
              </w:tc>
            </w:tr>
            <w:tr w14:paraId="242124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67" w:type="pct"/>
                  <w:vMerge w:val="continue"/>
                  <w:tcBorders>
                    <w:tl2br w:val="nil"/>
                    <w:tr2bl w:val="nil"/>
                  </w:tcBorders>
                  <w:vAlign w:val="center"/>
                </w:tcPr>
                <w:p w14:paraId="5E52E8A0">
                  <w:pPr>
                    <w:pStyle w:val="41"/>
                    <w:adjustRightInd w:val="0"/>
                    <w:rPr>
                      <w:color w:val="auto"/>
                    </w:rPr>
                  </w:pPr>
                </w:p>
              </w:tc>
              <w:tc>
                <w:tcPr>
                  <w:tcW w:w="366" w:type="pct"/>
                  <w:tcBorders>
                    <w:tl2br w:val="nil"/>
                    <w:tr2bl w:val="nil"/>
                  </w:tcBorders>
                  <w:vAlign w:val="center"/>
                </w:tcPr>
                <w:p w14:paraId="2DB32B1A">
                  <w:pPr>
                    <w:pStyle w:val="41"/>
                    <w:adjustRightInd w:val="0"/>
                    <w:rPr>
                      <w:color w:val="auto"/>
                    </w:rPr>
                  </w:pPr>
                  <w:r>
                    <w:rPr>
                      <w:color w:val="auto"/>
                    </w:rPr>
                    <w:t>合计</w:t>
                  </w:r>
                </w:p>
              </w:tc>
              <w:tc>
                <w:tcPr>
                  <w:tcW w:w="1090" w:type="pct"/>
                  <w:tcBorders>
                    <w:tl2br w:val="nil"/>
                    <w:tr2bl w:val="nil"/>
                  </w:tcBorders>
                  <w:vAlign w:val="center"/>
                </w:tcPr>
                <w:p w14:paraId="4D894A47">
                  <w:pPr>
                    <w:pStyle w:val="41"/>
                    <w:adjustRightInd w:val="0"/>
                    <w:rPr>
                      <w:color w:val="auto"/>
                    </w:rPr>
                  </w:pPr>
                  <w:r>
                    <w:rPr>
                      <w:color w:val="auto"/>
                    </w:rPr>
                    <w:t>非甲烷总烃</w:t>
                  </w:r>
                </w:p>
              </w:tc>
              <w:tc>
                <w:tcPr>
                  <w:tcW w:w="651" w:type="pct"/>
                  <w:tcBorders>
                    <w:tl2br w:val="nil"/>
                    <w:tr2bl w:val="nil"/>
                  </w:tcBorders>
                  <w:vAlign w:val="center"/>
                </w:tcPr>
                <w:p w14:paraId="26F36AB9">
                  <w:pPr>
                    <w:pStyle w:val="41"/>
                    <w:adjustRightInd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3.2</w:t>
                  </w:r>
                </w:p>
              </w:tc>
              <w:tc>
                <w:tcPr>
                  <w:tcW w:w="642" w:type="pct"/>
                  <w:tcBorders>
                    <w:tl2br w:val="nil"/>
                    <w:tr2bl w:val="nil"/>
                  </w:tcBorders>
                  <w:vAlign w:val="center"/>
                </w:tcPr>
                <w:p w14:paraId="63520862">
                  <w:pPr>
                    <w:pStyle w:val="41"/>
                    <w:adjustRightInd w:val="0"/>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w:t>
                  </w:r>
                </w:p>
              </w:tc>
              <w:tc>
                <w:tcPr>
                  <w:tcW w:w="605" w:type="pct"/>
                  <w:tcBorders>
                    <w:tl2br w:val="nil"/>
                    <w:tr2bl w:val="nil"/>
                  </w:tcBorders>
                  <w:vAlign w:val="center"/>
                </w:tcPr>
                <w:p w14:paraId="5D1874E3">
                  <w:pPr>
                    <w:pStyle w:val="41"/>
                    <w:adjustRightInd w:val="0"/>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0.608</w:t>
                  </w:r>
                </w:p>
              </w:tc>
              <w:tc>
                <w:tcPr>
                  <w:tcW w:w="695" w:type="pct"/>
                  <w:tcBorders>
                    <w:tl2br w:val="nil"/>
                    <w:tr2bl w:val="nil"/>
                  </w:tcBorders>
                  <w:shd w:val="clear" w:color="auto" w:fill="auto"/>
                  <w:vAlign w:val="center"/>
                </w:tcPr>
                <w:p w14:paraId="0E4907C7">
                  <w:pPr>
                    <w:pStyle w:val="41"/>
                    <w:adjustRightInd w:val="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+0.608</w:t>
                  </w:r>
                </w:p>
              </w:tc>
              <w:tc>
                <w:tcPr>
                  <w:tcW w:w="681" w:type="pct"/>
                  <w:tcBorders>
                    <w:tl2br w:val="nil"/>
                    <w:tr2bl w:val="nil"/>
                  </w:tcBorders>
                  <w:shd w:val="clear" w:color="auto" w:fill="auto"/>
                  <w:vAlign w:val="center"/>
                </w:tcPr>
                <w:p w14:paraId="22BC1292">
                  <w:pPr>
                    <w:pStyle w:val="41"/>
                    <w:adjustRightInd w:val="0"/>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lang w:val="en-US" w:eastAsia="zh-CN"/>
                    </w:rPr>
                    <w:t>+0.608</w:t>
                  </w:r>
                </w:p>
              </w:tc>
            </w:tr>
            <w:tr w14:paraId="53B9A8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67" w:type="pct"/>
                  <w:vMerge w:val="restart"/>
                  <w:tcBorders>
                    <w:tl2br w:val="nil"/>
                    <w:tr2bl w:val="nil"/>
                  </w:tcBorders>
                  <w:vAlign w:val="center"/>
                </w:tcPr>
                <w:p w14:paraId="267415ED">
                  <w:pPr>
                    <w:pStyle w:val="41"/>
                    <w:adjustRightInd w:val="0"/>
                    <w:rPr>
                      <w:color w:val="auto"/>
                    </w:rPr>
                  </w:pPr>
                  <w:r>
                    <w:rPr>
                      <w:color w:val="auto"/>
                    </w:rPr>
                    <w:t>废水</w:t>
                  </w:r>
                </w:p>
              </w:tc>
              <w:tc>
                <w:tcPr>
                  <w:tcW w:w="1457" w:type="pct"/>
                  <w:gridSpan w:val="2"/>
                  <w:tcBorders>
                    <w:tl2br w:val="nil"/>
                    <w:tr2bl w:val="nil"/>
                  </w:tcBorders>
                  <w:vAlign w:val="center"/>
                </w:tcPr>
                <w:p w14:paraId="4E79FC50">
                  <w:pPr>
                    <w:pStyle w:val="41"/>
                    <w:adjustRightInd w:val="0"/>
                    <w:rPr>
                      <w:color w:val="auto"/>
                    </w:rPr>
                  </w:pPr>
                  <w:r>
                    <w:rPr>
                      <w:color w:val="auto"/>
                    </w:rPr>
                    <w:t>废水量</w:t>
                  </w:r>
                </w:p>
              </w:tc>
              <w:tc>
                <w:tcPr>
                  <w:tcW w:w="651" w:type="pct"/>
                  <w:tcBorders>
                    <w:tl2br w:val="nil"/>
                    <w:tr2bl w:val="nil"/>
                  </w:tcBorders>
                  <w:vAlign w:val="center"/>
                </w:tcPr>
                <w:p w14:paraId="38D17363">
                  <w:pPr>
                    <w:pStyle w:val="41"/>
                    <w:adjustRightInd w:val="0"/>
                    <w:rPr>
                      <w:color w:val="auto"/>
                    </w:rPr>
                  </w:pPr>
                  <w:r>
                    <w:rPr>
                      <w:rFonts w:hint="eastAsia"/>
                      <w:color w:val="auto"/>
                    </w:rPr>
                    <w:t>120</w:t>
                  </w:r>
                </w:p>
              </w:tc>
              <w:tc>
                <w:tcPr>
                  <w:tcW w:w="642" w:type="pct"/>
                  <w:tcBorders>
                    <w:tl2br w:val="nil"/>
                    <w:tr2bl w:val="nil"/>
                  </w:tcBorders>
                  <w:vAlign w:val="center"/>
                </w:tcPr>
                <w:p w14:paraId="56446D23">
                  <w:pPr>
                    <w:pStyle w:val="41"/>
                    <w:adjustRightInd w:val="0"/>
                    <w:rPr>
                      <w:color w:val="auto"/>
                    </w:rPr>
                  </w:pPr>
                  <w:r>
                    <w:rPr>
                      <w:color w:val="auto"/>
                    </w:rPr>
                    <w:t>0</w:t>
                  </w:r>
                </w:p>
              </w:tc>
              <w:tc>
                <w:tcPr>
                  <w:tcW w:w="605" w:type="pct"/>
                  <w:tcBorders>
                    <w:tl2br w:val="nil"/>
                    <w:tr2bl w:val="nil"/>
                  </w:tcBorders>
                  <w:vAlign w:val="center"/>
                </w:tcPr>
                <w:p w14:paraId="1A1BBF32">
                  <w:pPr>
                    <w:pStyle w:val="41"/>
                    <w:adjustRightInd w:val="0"/>
                    <w:rPr>
                      <w:color w:val="auto"/>
                    </w:rPr>
                  </w:pPr>
                  <w:r>
                    <w:rPr>
                      <w:rFonts w:hint="eastAsia"/>
                      <w:color w:val="auto"/>
                    </w:rPr>
                    <w:t>120</w:t>
                  </w:r>
                </w:p>
              </w:tc>
              <w:tc>
                <w:tcPr>
                  <w:tcW w:w="695" w:type="pct"/>
                  <w:tcBorders>
                    <w:tl2br w:val="nil"/>
                    <w:tr2bl w:val="nil"/>
                  </w:tcBorders>
                  <w:vAlign w:val="center"/>
                </w:tcPr>
                <w:p w14:paraId="35828EB9">
                  <w:pPr>
                    <w:pStyle w:val="41"/>
                    <w:adjustRightInd w:val="0"/>
                    <w:rPr>
                      <w:color w:val="auto"/>
                    </w:rPr>
                  </w:pPr>
                  <w:r>
                    <w:rPr>
                      <w:rFonts w:hint="eastAsia"/>
                      <w:color w:val="auto"/>
                      <w:lang w:val="en-US" w:eastAsia="zh-CN"/>
                    </w:rPr>
                    <w:t>+</w:t>
                  </w:r>
                  <w:r>
                    <w:rPr>
                      <w:rFonts w:hint="eastAsia"/>
                      <w:color w:val="auto"/>
                    </w:rPr>
                    <w:t>120</w:t>
                  </w:r>
                  <w:r>
                    <w:rPr>
                      <w:color w:val="auto"/>
                    </w:rPr>
                    <w:t>/</w:t>
                  </w:r>
                  <w:r>
                    <w:rPr>
                      <w:rFonts w:hint="eastAsia"/>
                      <w:color w:val="auto"/>
                    </w:rPr>
                    <w:t>120</w:t>
                  </w:r>
                </w:p>
              </w:tc>
              <w:tc>
                <w:tcPr>
                  <w:tcW w:w="681" w:type="pct"/>
                  <w:tcBorders>
                    <w:tl2br w:val="nil"/>
                    <w:tr2bl w:val="nil"/>
                  </w:tcBorders>
                  <w:vAlign w:val="center"/>
                </w:tcPr>
                <w:p w14:paraId="6CAA1377">
                  <w:pPr>
                    <w:pStyle w:val="41"/>
                    <w:adjustRightInd w:val="0"/>
                    <w:rPr>
                      <w:color w:val="auto"/>
                    </w:rPr>
                  </w:pPr>
                  <w:r>
                    <w:rPr>
                      <w:rFonts w:hint="eastAsia"/>
                      <w:color w:val="auto"/>
                      <w:lang w:val="en-US" w:eastAsia="zh-CN"/>
                    </w:rPr>
                    <w:t>+</w:t>
                  </w:r>
                  <w:r>
                    <w:rPr>
                      <w:rFonts w:hint="eastAsia"/>
                      <w:color w:val="auto"/>
                    </w:rPr>
                    <w:t>120</w:t>
                  </w:r>
                  <w:r>
                    <w:rPr>
                      <w:color w:val="auto"/>
                    </w:rPr>
                    <w:t>/</w:t>
                  </w:r>
                  <w:r>
                    <w:rPr>
                      <w:rFonts w:hint="eastAsia"/>
                      <w:color w:val="auto"/>
                    </w:rPr>
                    <w:t>120</w:t>
                  </w:r>
                </w:p>
              </w:tc>
            </w:tr>
            <w:tr w14:paraId="2B3751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67" w:type="pct"/>
                  <w:vMerge w:val="continue"/>
                  <w:tcBorders>
                    <w:tl2br w:val="nil"/>
                    <w:tr2bl w:val="nil"/>
                  </w:tcBorders>
                  <w:vAlign w:val="center"/>
                </w:tcPr>
                <w:p w14:paraId="147982F0">
                  <w:pPr>
                    <w:pStyle w:val="41"/>
                    <w:adjustRightInd w:val="0"/>
                    <w:rPr>
                      <w:color w:val="auto"/>
                    </w:rPr>
                  </w:pPr>
                </w:p>
              </w:tc>
              <w:tc>
                <w:tcPr>
                  <w:tcW w:w="1457" w:type="pct"/>
                  <w:gridSpan w:val="2"/>
                  <w:tcBorders>
                    <w:tl2br w:val="nil"/>
                    <w:tr2bl w:val="nil"/>
                  </w:tcBorders>
                  <w:vAlign w:val="center"/>
                </w:tcPr>
                <w:p w14:paraId="14A0EE2F">
                  <w:pPr>
                    <w:pStyle w:val="41"/>
                    <w:adjustRightInd w:val="0"/>
                    <w:rPr>
                      <w:color w:val="auto"/>
                    </w:rPr>
                  </w:pPr>
                  <w:r>
                    <w:rPr>
                      <w:color w:val="auto"/>
                    </w:rPr>
                    <w:t>COD</w:t>
                  </w:r>
                </w:p>
              </w:tc>
              <w:tc>
                <w:tcPr>
                  <w:tcW w:w="651" w:type="pct"/>
                  <w:tcBorders>
                    <w:tl2br w:val="nil"/>
                    <w:tr2bl w:val="nil"/>
                  </w:tcBorders>
                  <w:vAlign w:val="center"/>
                </w:tcPr>
                <w:p w14:paraId="7CDE2F00">
                  <w:pPr>
                    <w:pStyle w:val="41"/>
                    <w:adjustRightInd w:val="0"/>
                    <w:rPr>
                      <w:color w:val="auto"/>
                    </w:rPr>
                  </w:pPr>
                  <w:r>
                    <w:rPr>
                      <w:color w:val="auto"/>
                    </w:rPr>
                    <w:t>0.0600</w:t>
                  </w:r>
                </w:p>
              </w:tc>
              <w:tc>
                <w:tcPr>
                  <w:tcW w:w="642" w:type="pct"/>
                  <w:tcBorders>
                    <w:tl2br w:val="nil"/>
                    <w:tr2bl w:val="nil"/>
                  </w:tcBorders>
                  <w:vAlign w:val="center"/>
                </w:tcPr>
                <w:p w14:paraId="72BE2076">
                  <w:pPr>
                    <w:pStyle w:val="41"/>
                    <w:adjustRightInd w:val="0"/>
                    <w:rPr>
                      <w:color w:val="auto"/>
                    </w:rPr>
                  </w:pPr>
                  <w:r>
                    <w:rPr>
                      <w:color w:val="auto"/>
                    </w:rPr>
                    <w:t>0.0</w:t>
                  </w:r>
                  <w:r>
                    <w:rPr>
                      <w:rFonts w:hint="eastAsia"/>
                      <w:color w:val="auto"/>
                    </w:rPr>
                    <w:t>06</w:t>
                  </w:r>
                </w:p>
              </w:tc>
              <w:tc>
                <w:tcPr>
                  <w:tcW w:w="605" w:type="pct"/>
                  <w:tcBorders>
                    <w:tl2br w:val="nil"/>
                    <w:tr2bl w:val="nil"/>
                  </w:tcBorders>
                  <w:vAlign w:val="center"/>
                </w:tcPr>
                <w:p w14:paraId="02F04CAD">
                  <w:pPr>
                    <w:pStyle w:val="41"/>
                    <w:adjustRightInd w:val="0"/>
                    <w:rPr>
                      <w:color w:val="auto"/>
                    </w:rPr>
                  </w:pPr>
                  <w:r>
                    <w:rPr>
                      <w:color w:val="auto"/>
                    </w:rPr>
                    <w:t>0.0540</w:t>
                  </w:r>
                </w:p>
              </w:tc>
              <w:tc>
                <w:tcPr>
                  <w:tcW w:w="695" w:type="pct"/>
                  <w:tcBorders>
                    <w:tl2br w:val="nil"/>
                    <w:tr2bl w:val="nil"/>
                  </w:tcBorders>
                  <w:vAlign w:val="center"/>
                </w:tcPr>
                <w:p w14:paraId="57BA3B6C">
                  <w:pPr>
                    <w:pStyle w:val="41"/>
                    <w:adjustRightInd w:val="0"/>
                    <w:rPr>
                      <w:color w:val="auto"/>
                    </w:rPr>
                  </w:pPr>
                  <w:r>
                    <w:rPr>
                      <w:rFonts w:hint="eastAsia"/>
                      <w:color w:val="auto"/>
                      <w:lang w:val="en-US" w:eastAsia="zh-CN"/>
                    </w:rPr>
                    <w:t>+</w:t>
                  </w:r>
                  <w:r>
                    <w:rPr>
                      <w:color w:val="auto"/>
                    </w:rPr>
                    <w:t>0.0540/0.0060</w:t>
                  </w:r>
                </w:p>
              </w:tc>
              <w:tc>
                <w:tcPr>
                  <w:tcW w:w="681" w:type="pct"/>
                  <w:tcBorders>
                    <w:tl2br w:val="nil"/>
                    <w:tr2bl w:val="nil"/>
                  </w:tcBorders>
                  <w:vAlign w:val="center"/>
                </w:tcPr>
                <w:p w14:paraId="1E868F61">
                  <w:pPr>
                    <w:pStyle w:val="41"/>
                    <w:adjustRightInd w:val="0"/>
                    <w:rPr>
                      <w:color w:val="auto"/>
                    </w:rPr>
                  </w:pPr>
                  <w:r>
                    <w:rPr>
                      <w:rFonts w:hint="eastAsia"/>
                      <w:color w:val="auto"/>
                      <w:lang w:val="en-US" w:eastAsia="zh-CN"/>
                    </w:rPr>
                    <w:t>+</w:t>
                  </w:r>
                  <w:r>
                    <w:rPr>
                      <w:color w:val="auto"/>
                    </w:rPr>
                    <w:t>0.0540/0.0060</w:t>
                  </w:r>
                </w:p>
              </w:tc>
            </w:tr>
            <w:tr w14:paraId="269039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67" w:type="pct"/>
                  <w:vMerge w:val="continue"/>
                  <w:tcBorders>
                    <w:tl2br w:val="nil"/>
                    <w:tr2bl w:val="nil"/>
                  </w:tcBorders>
                  <w:vAlign w:val="center"/>
                </w:tcPr>
                <w:p w14:paraId="0438F717">
                  <w:pPr>
                    <w:pStyle w:val="41"/>
                    <w:adjustRightInd w:val="0"/>
                    <w:rPr>
                      <w:color w:val="auto"/>
                    </w:rPr>
                  </w:pPr>
                </w:p>
              </w:tc>
              <w:tc>
                <w:tcPr>
                  <w:tcW w:w="1457" w:type="pct"/>
                  <w:gridSpan w:val="2"/>
                  <w:tcBorders>
                    <w:tl2br w:val="nil"/>
                    <w:tr2bl w:val="nil"/>
                  </w:tcBorders>
                  <w:vAlign w:val="center"/>
                </w:tcPr>
                <w:p w14:paraId="186BD778">
                  <w:pPr>
                    <w:pStyle w:val="41"/>
                    <w:adjustRightInd w:val="0"/>
                    <w:rPr>
                      <w:color w:val="auto"/>
                    </w:rPr>
                  </w:pPr>
                  <w:r>
                    <w:rPr>
                      <w:color w:val="auto"/>
                    </w:rPr>
                    <w:t>SS</w:t>
                  </w:r>
                </w:p>
              </w:tc>
              <w:tc>
                <w:tcPr>
                  <w:tcW w:w="651" w:type="pct"/>
                  <w:tcBorders>
                    <w:tl2br w:val="nil"/>
                    <w:tr2bl w:val="nil"/>
                  </w:tcBorders>
                  <w:vAlign w:val="center"/>
                </w:tcPr>
                <w:p w14:paraId="7C35CD37">
                  <w:pPr>
                    <w:pStyle w:val="41"/>
                    <w:adjustRightInd w:val="0"/>
                    <w:rPr>
                      <w:color w:val="auto"/>
                    </w:rPr>
                  </w:pPr>
                  <w:r>
                    <w:rPr>
                      <w:color w:val="auto"/>
                    </w:rPr>
                    <w:t>0.0480</w:t>
                  </w:r>
                </w:p>
              </w:tc>
              <w:tc>
                <w:tcPr>
                  <w:tcW w:w="642" w:type="pct"/>
                  <w:tcBorders>
                    <w:tl2br w:val="nil"/>
                    <w:tr2bl w:val="nil"/>
                  </w:tcBorders>
                  <w:vAlign w:val="center"/>
                </w:tcPr>
                <w:p w14:paraId="370EA0C8">
                  <w:pPr>
                    <w:pStyle w:val="41"/>
                    <w:adjustRightInd w:val="0"/>
                    <w:rPr>
                      <w:color w:val="auto"/>
                    </w:rPr>
                  </w:pPr>
                  <w:r>
                    <w:rPr>
                      <w:color w:val="auto"/>
                    </w:rPr>
                    <w:t>0.0</w:t>
                  </w:r>
                  <w:r>
                    <w:rPr>
                      <w:rFonts w:hint="eastAsia"/>
                      <w:color w:val="auto"/>
                    </w:rPr>
                    <w:t>06</w:t>
                  </w:r>
                </w:p>
              </w:tc>
              <w:tc>
                <w:tcPr>
                  <w:tcW w:w="605" w:type="pct"/>
                  <w:tcBorders>
                    <w:tl2br w:val="nil"/>
                    <w:tr2bl w:val="nil"/>
                  </w:tcBorders>
                  <w:vAlign w:val="center"/>
                </w:tcPr>
                <w:p w14:paraId="473ADE6A">
                  <w:pPr>
                    <w:pStyle w:val="41"/>
                    <w:adjustRightInd w:val="0"/>
                    <w:rPr>
                      <w:color w:val="auto"/>
                    </w:rPr>
                  </w:pPr>
                  <w:r>
                    <w:rPr>
                      <w:color w:val="auto"/>
                    </w:rPr>
                    <w:t>0.0420</w:t>
                  </w:r>
                </w:p>
              </w:tc>
              <w:tc>
                <w:tcPr>
                  <w:tcW w:w="695" w:type="pct"/>
                  <w:tcBorders>
                    <w:tl2br w:val="nil"/>
                    <w:tr2bl w:val="nil"/>
                  </w:tcBorders>
                  <w:vAlign w:val="center"/>
                </w:tcPr>
                <w:p w14:paraId="38736678">
                  <w:pPr>
                    <w:pStyle w:val="41"/>
                    <w:adjustRightInd w:val="0"/>
                    <w:rPr>
                      <w:color w:val="auto"/>
                    </w:rPr>
                  </w:pPr>
                  <w:r>
                    <w:rPr>
                      <w:rFonts w:hint="eastAsia"/>
                      <w:color w:val="auto"/>
                      <w:lang w:val="en-US" w:eastAsia="zh-CN"/>
                    </w:rPr>
                    <w:t>+</w:t>
                  </w:r>
                  <w:r>
                    <w:rPr>
                      <w:color w:val="auto"/>
                    </w:rPr>
                    <w:t>0.0420/0.0012</w:t>
                  </w:r>
                </w:p>
              </w:tc>
              <w:tc>
                <w:tcPr>
                  <w:tcW w:w="681" w:type="pct"/>
                  <w:tcBorders>
                    <w:tl2br w:val="nil"/>
                    <w:tr2bl w:val="nil"/>
                  </w:tcBorders>
                  <w:vAlign w:val="center"/>
                </w:tcPr>
                <w:p w14:paraId="3E2EDAE4">
                  <w:pPr>
                    <w:pStyle w:val="41"/>
                    <w:adjustRightInd w:val="0"/>
                    <w:rPr>
                      <w:color w:val="auto"/>
                    </w:rPr>
                  </w:pPr>
                  <w:r>
                    <w:rPr>
                      <w:rFonts w:hint="eastAsia"/>
                      <w:color w:val="auto"/>
                      <w:lang w:val="en-US" w:eastAsia="zh-CN"/>
                    </w:rPr>
                    <w:t>+</w:t>
                  </w:r>
                  <w:r>
                    <w:rPr>
                      <w:color w:val="auto"/>
                    </w:rPr>
                    <w:t>0.0420/0.0012</w:t>
                  </w:r>
                </w:p>
              </w:tc>
            </w:tr>
            <w:tr w14:paraId="7A313B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67" w:type="pct"/>
                  <w:vMerge w:val="continue"/>
                  <w:tcBorders>
                    <w:tl2br w:val="nil"/>
                    <w:tr2bl w:val="nil"/>
                  </w:tcBorders>
                  <w:vAlign w:val="center"/>
                </w:tcPr>
                <w:p w14:paraId="0603EA7F">
                  <w:pPr>
                    <w:pStyle w:val="41"/>
                    <w:adjustRightInd w:val="0"/>
                    <w:rPr>
                      <w:color w:val="auto"/>
                    </w:rPr>
                  </w:pPr>
                </w:p>
              </w:tc>
              <w:tc>
                <w:tcPr>
                  <w:tcW w:w="1457" w:type="pct"/>
                  <w:gridSpan w:val="2"/>
                  <w:tcBorders>
                    <w:tl2br w:val="nil"/>
                    <w:tr2bl w:val="nil"/>
                  </w:tcBorders>
                  <w:vAlign w:val="center"/>
                </w:tcPr>
                <w:p w14:paraId="5F47ADA7">
                  <w:pPr>
                    <w:pStyle w:val="41"/>
                    <w:adjustRightInd w:val="0"/>
                    <w:rPr>
                      <w:color w:val="auto"/>
                    </w:rPr>
                  </w:pPr>
                  <w:r>
                    <w:rPr>
                      <w:color w:val="auto"/>
                    </w:rPr>
                    <w:t>氨氮</w:t>
                  </w:r>
                </w:p>
              </w:tc>
              <w:tc>
                <w:tcPr>
                  <w:tcW w:w="651" w:type="pct"/>
                  <w:tcBorders>
                    <w:tl2br w:val="nil"/>
                    <w:tr2bl w:val="nil"/>
                  </w:tcBorders>
                  <w:vAlign w:val="center"/>
                </w:tcPr>
                <w:p w14:paraId="5BDDBD41">
                  <w:pPr>
                    <w:pStyle w:val="41"/>
                    <w:adjustRightInd w:val="0"/>
                    <w:rPr>
                      <w:color w:val="auto"/>
                    </w:rPr>
                  </w:pPr>
                  <w:r>
                    <w:rPr>
                      <w:color w:val="auto"/>
                    </w:rPr>
                    <w:t>0.0054</w:t>
                  </w:r>
                </w:p>
              </w:tc>
              <w:tc>
                <w:tcPr>
                  <w:tcW w:w="642" w:type="pct"/>
                  <w:tcBorders>
                    <w:tl2br w:val="nil"/>
                    <w:tr2bl w:val="nil"/>
                  </w:tcBorders>
                  <w:vAlign w:val="center"/>
                </w:tcPr>
                <w:p w14:paraId="64B23B6E">
                  <w:pPr>
                    <w:pStyle w:val="41"/>
                    <w:adjustRightInd w:val="0"/>
                    <w:rPr>
                      <w:color w:val="auto"/>
                    </w:rPr>
                  </w:pPr>
                  <w:r>
                    <w:rPr>
                      <w:color w:val="auto"/>
                    </w:rPr>
                    <w:t>0</w:t>
                  </w:r>
                </w:p>
              </w:tc>
              <w:tc>
                <w:tcPr>
                  <w:tcW w:w="605" w:type="pct"/>
                  <w:tcBorders>
                    <w:tl2br w:val="nil"/>
                    <w:tr2bl w:val="nil"/>
                  </w:tcBorders>
                  <w:vAlign w:val="center"/>
                </w:tcPr>
                <w:p w14:paraId="249EDC7B">
                  <w:pPr>
                    <w:pStyle w:val="41"/>
                    <w:adjustRightInd w:val="0"/>
                    <w:rPr>
                      <w:color w:val="auto"/>
                    </w:rPr>
                  </w:pPr>
                  <w:r>
                    <w:rPr>
                      <w:color w:val="auto"/>
                    </w:rPr>
                    <w:t>0.0054</w:t>
                  </w:r>
                </w:p>
              </w:tc>
              <w:tc>
                <w:tcPr>
                  <w:tcW w:w="695" w:type="pct"/>
                  <w:tcBorders>
                    <w:tl2br w:val="nil"/>
                    <w:tr2bl w:val="nil"/>
                  </w:tcBorders>
                  <w:vAlign w:val="center"/>
                </w:tcPr>
                <w:p w14:paraId="7D7D1546">
                  <w:pPr>
                    <w:pStyle w:val="41"/>
                    <w:adjustRightInd w:val="0"/>
                    <w:rPr>
                      <w:color w:val="auto"/>
                    </w:rPr>
                  </w:pPr>
                  <w:r>
                    <w:rPr>
                      <w:rFonts w:hint="eastAsia"/>
                      <w:color w:val="auto"/>
                      <w:lang w:val="en-US" w:eastAsia="zh-CN"/>
                    </w:rPr>
                    <w:t>+</w:t>
                  </w:r>
                  <w:r>
                    <w:rPr>
                      <w:color w:val="auto"/>
                    </w:rPr>
                    <w:t>0.0054/0.0005</w:t>
                  </w:r>
                </w:p>
              </w:tc>
              <w:tc>
                <w:tcPr>
                  <w:tcW w:w="681" w:type="pct"/>
                  <w:tcBorders>
                    <w:tl2br w:val="nil"/>
                    <w:tr2bl w:val="nil"/>
                  </w:tcBorders>
                  <w:vAlign w:val="center"/>
                </w:tcPr>
                <w:p w14:paraId="42A62048">
                  <w:pPr>
                    <w:pStyle w:val="41"/>
                    <w:adjustRightInd w:val="0"/>
                    <w:rPr>
                      <w:color w:val="auto"/>
                    </w:rPr>
                  </w:pPr>
                  <w:r>
                    <w:rPr>
                      <w:rFonts w:hint="eastAsia"/>
                      <w:color w:val="auto"/>
                      <w:lang w:val="en-US" w:eastAsia="zh-CN"/>
                    </w:rPr>
                    <w:t>+</w:t>
                  </w:r>
                  <w:r>
                    <w:rPr>
                      <w:color w:val="auto"/>
                    </w:rPr>
                    <w:t>0.0054/0.0005</w:t>
                  </w:r>
                </w:p>
              </w:tc>
            </w:tr>
            <w:tr w14:paraId="7263A0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67" w:type="pct"/>
                  <w:vMerge w:val="continue"/>
                  <w:tcBorders>
                    <w:tl2br w:val="nil"/>
                    <w:tr2bl w:val="nil"/>
                  </w:tcBorders>
                  <w:vAlign w:val="center"/>
                </w:tcPr>
                <w:p w14:paraId="4DCE2D89">
                  <w:pPr>
                    <w:pStyle w:val="41"/>
                    <w:adjustRightInd w:val="0"/>
                    <w:rPr>
                      <w:color w:val="auto"/>
                    </w:rPr>
                  </w:pPr>
                </w:p>
              </w:tc>
              <w:tc>
                <w:tcPr>
                  <w:tcW w:w="1457" w:type="pct"/>
                  <w:gridSpan w:val="2"/>
                  <w:tcBorders>
                    <w:tl2br w:val="nil"/>
                    <w:tr2bl w:val="nil"/>
                  </w:tcBorders>
                  <w:vAlign w:val="center"/>
                </w:tcPr>
                <w:p w14:paraId="79B5B31D">
                  <w:pPr>
                    <w:pStyle w:val="41"/>
                    <w:adjustRightInd w:val="0"/>
                    <w:rPr>
                      <w:color w:val="auto"/>
                    </w:rPr>
                  </w:pPr>
                  <w:r>
                    <w:rPr>
                      <w:color w:val="auto"/>
                    </w:rPr>
                    <w:t>TP</w:t>
                  </w:r>
                </w:p>
              </w:tc>
              <w:tc>
                <w:tcPr>
                  <w:tcW w:w="651" w:type="pct"/>
                  <w:tcBorders>
                    <w:tl2br w:val="nil"/>
                    <w:tr2bl w:val="nil"/>
                  </w:tcBorders>
                  <w:vAlign w:val="center"/>
                </w:tcPr>
                <w:p w14:paraId="4AA55147">
                  <w:pPr>
                    <w:pStyle w:val="41"/>
                    <w:adjustRightInd w:val="0"/>
                    <w:rPr>
                      <w:color w:val="auto"/>
                    </w:rPr>
                  </w:pPr>
                  <w:r>
                    <w:rPr>
                      <w:color w:val="auto"/>
                    </w:rPr>
                    <w:t>0.0010</w:t>
                  </w:r>
                </w:p>
              </w:tc>
              <w:tc>
                <w:tcPr>
                  <w:tcW w:w="642" w:type="pct"/>
                  <w:tcBorders>
                    <w:tl2br w:val="nil"/>
                    <w:tr2bl w:val="nil"/>
                  </w:tcBorders>
                  <w:vAlign w:val="center"/>
                </w:tcPr>
                <w:p w14:paraId="432BE071">
                  <w:pPr>
                    <w:pStyle w:val="41"/>
                    <w:adjustRightInd w:val="0"/>
                    <w:rPr>
                      <w:color w:val="auto"/>
                    </w:rPr>
                  </w:pPr>
                  <w:r>
                    <w:rPr>
                      <w:color w:val="auto"/>
                    </w:rPr>
                    <w:t>0</w:t>
                  </w:r>
                </w:p>
              </w:tc>
              <w:tc>
                <w:tcPr>
                  <w:tcW w:w="605" w:type="pct"/>
                  <w:tcBorders>
                    <w:tl2br w:val="nil"/>
                    <w:tr2bl w:val="nil"/>
                  </w:tcBorders>
                  <w:vAlign w:val="center"/>
                </w:tcPr>
                <w:p w14:paraId="054E2C1E">
                  <w:pPr>
                    <w:pStyle w:val="41"/>
                    <w:adjustRightInd w:val="0"/>
                    <w:rPr>
                      <w:color w:val="auto"/>
                    </w:rPr>
                  </w:pPr>
                  <w:r>
                    <w:rPr>
                      <w:color w:val="auto"/>
                    </w:rPr>
                    <w:t>0.0010</w:t>
                  </w:r>
                </w:p>
              </w:tc>
              <w:tc>
                <w:tcPr>
                  <w:tcW w:w="695" w:type="pct"/>
                  <w:tcBorders>
                    <w:tl2br w:val="nil"/>
                    <w:tr2bl w:val="nil"/>
                  </w:tcBorders>
                  <w:vAlign w:val="center"/>
                </w:tcPr>
                <w:p w14:paraId="22FF1EF1">
                  <w:pPr>
                    <w:pStyle w:val="41"/>
                    <w:adjustRightInd w:val="0"/>
                    <w:rPr>
                      <w:color w:val="auto"/>
                    </w:rPr>
                  </w:pPr>
                  <w:r>
                    <w:rPr>
                      <w:rFonts w:hint="eastAsia"/>
                      <w:color w:val="auto"/>
                      <w:lang w:val="en-US" w:eastAsia="zh-CN"/>
                    </w:rPr>
                    <w:t>+</w:t>
                  </w:r>
                  <w:r>
                    <w:rPr>
                      <w:color w:val="auto"/>
                    </w:rPr>
                    <w:t>0.0010/0.0001</w:t>
                  </w:r>
                </w:p>
              </w:tc>
              <w:tc>
                <w:tcPr>
                  <w:tcW w:w="681" w:type="pct"/>
                  <w:tcBorders>
                    <w:tl2br w:val="nil"/>
                    <w:tr2bl w:val="nil"/>
                  </w:tcBorders>
                  <w:vAlign w:val="center"/>
                </w:tcPr>
                <w:p w14:paraId="3052C530">
                  <w:pPr>
                    <w:pStyle w:val="41"/>
                    <w:adjustRightInd w:val="0"/>
                    <w:rPr>
                      <w:color w:val="auto"/>
                    </w:rPr>
                  </w:pPr>
                  <w:r>
                    <w:rPr>
                      <w:rFonts w:hint="eastAsia"/>
                      <w:color w:val="auto"/>
                      <w:lang w:val="en-US" w:eastAsia="zh-CN"/>
                    </w:rPr>
                    <w:t>+</w:t>
                  </w:r>
                  <w:r>
                    <w:rPr>
                      <w:color w:val="auto"/>
                    </w:rPr>
                    <w:t>0.0010/0.0001</w:t>
                  </w:r>
                </w:p>
              </w:tc>
            </w:tr>
            <w:tr w14:paraId="4C9094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67" w:type="pct"/>
                  <w:vMerge w:val="continue"/>
                  <w:tcBorders>
                    <w:tl2br w:val="nil"/>
                    <w:tr2bl w:val="nil"/>
                  </w:tcBorders>
                  <w:vAlign w:val="center"/>
                </w:tcPr>
                <w:p w14:paraId="731B99B4">
                  <w:pPr>
                    <w:pStyle w:val="41"/>
                    <w:adjustRightInd w:val="0"/>
                    <w:rPr>
                      <w:color w:val="auto"/>
                    </w:rPr>
                  </w:pPr>
                </w:p>
              </w:tc>
              <w:tc>
                <w:tcPr>
                  <w:tcW w:w="1457" w:type="pct"/>
                  <w:gridSpan w:val="2"/>
                  <w:tcBorders>
                    <w:tl2br w:val="nil"/>
                    <w:tr2bl w:val="nil"/>
                  </w:tcBorders>
                  <w:vAlign w:val="center"/>
                </w:tcPr>
                <w:p w14:paraId="04E47D37">
                  <w:pPr>
                    <w:pStyle w:val="41"/>
                    <w:adjustRightInd w:val="0"/>
                    <w:rPr>
                      <w:color w:val="auto"/>
                    </w:rPr>
                  </w:pPr>
                  <w:r>
                    <w:rPr>
                      <w:color w:val="auto"/>
                    </w:rPr>
                    <w:t>TN</w:t>
                  </w:r>
                </w:p>
              </w:tc>
              <w:tc>
                <w:tcPr>
                  <w:tcW w:w="651" w:type="pct"/>
                  <w:tcBorders>
                    <w:tl2br w:val="nil"/>
                    <w:tr2bl w:val="nil"/>
                  </w:tcBorders>
                  <w:vAlign w:val="center"/>
                </w:tcPr>
                <w:p w14:paraId="4CA44CF8">
                  <w:pPr>
                    <w:pStyle w:val="41"/>
                    <w:adjustRightInd w:val="0"/>
                    <w:rPr>
                      <w:color w:val="auto"/>
                    </w:rPr>
                  </w:pPr>
                  <w:r>
                    <w:rPr>
                      <w:color w:val="auto"/>
                    </w:rPr>
                    <w:t>0.0084</w:t>
                  </w:r>
                </w:p>
              </w:tc>
              <w:tc>
                <w:tcPr>
                  <w:tcW w:w="642" w:type="pct"/>
                  <w:tcBorders>
                    <w:tl2br w:val="nil"/>
                    <w:tr2bl w:val="nil"/>
                  </w:tcBorders>
                  <w:vAlign w:val="center"/>
                </w:tcPr>
                <w:p w14:paraId="5629A374">
                  <w:pPr>
                    <w:pStyle w:val="41"/>
                    <w:adjustRightInd w:val="0"/>
                    <w:rPr>
                      <w:color w:val="auto"/>
                    </w:rPr>
                  </w:pPr>
                  <w:r>
                    <w:rPr>
                      <w:color w:val="auto"/>
                    </w:rPr>
                    <w:t>0</w:t>
                  </w:r>
                </w:p>
              </w:tc>
              <w:tc>
                <w:tcPr>
                  <w:tcW w:w="605" w:type="pct"/>
                  <w:tcBorders>
                    <w:tl2br w:val="nil"/>
                    <w:tr2bl w:val="nil"/>
                  </w:tcBorders>
                  <w:vAlign w:val="center"/>
                </w:tcPr>
                <w:p w14:paraId="16707F6C">
                  <w:pPr>
                    <w:pStyle w:val="41"/>
                    <w:adjustRightInd w:val="0"/>
                    <w:rPr>
                      <w:color w:val="auto"/>
                    </w:rPr>
                  </w:pPr>
                  <w:r>
                    <w:rPr>
                      <w:color w:val="auto"/>
                    </w:rPr>
                    <w:t>0.0084</w:t>
                  </w:r>
                </w:p>
              </w:tc>
              <w:tc>
                <w:tcPr>
                  <w:tcW w:w="695" w:type="pct"/>
                  <w:tcBorders>
                    <w:tl2br w:val="nil"/>
                    <w:tr2bl w:val="nil"/>
                  </w:tcBorders>
                  <w:vAlign w:val="center"/>
                </w:tcPr>
                <w:p w14:paraId="74D50362">
                  <w:pPr>
                    <w:pStyle w:val="41"/>
                    <w:adjustRightInd w:val="0"/>
                    <w:rPr>
                      <w:color w:val="auto"/>
                    </w:rPr>
                  </w:pPr>
                  <w:r>
                    <w:rPr>
                      <w:rFonts w:hint="eastAsia"/>
                      <w:color w:val="auto"/>
                      <w:lang w:val="en-US" w:eastAsia="zh-CN"/>
                    </w:rPr>
                    <w:t>+</w:t>
                  </w:r>
                  <w:r>
                    <w:rPr>
                      <w:color w:val="auto"/>
                    </w:rPr>
                    <w:t>0.0084/0.0014</w:t>
                  </w:r>
                </w:p>
              </w:tc>
              <w:tc>
                <w:tcPr>
                  <w:tcW w:w="681" w:type="pct"/>
                  <w:tcBorders>
                    <w:tl2br w:val="nil"/>
                    <w:tr2bl w:val="nil"/>
                  </w:tcBorders>
                  <w:vAlign w:val="center"/>
                </w:tcPr>
                <w:p w14:paraId="2AEFCCCD">
                  <w:pPr>
                    <w:pStyle w:val="41"/>
                    <w:adjustRightInd w:val="0"/>
                    <w:rPr>
                      <w:color w:val="auto"/>
                    </w:rPr>
                  </w:pPr>
                  <w:r>
                    <w:rPr>
                      <w:rFonts w:hint="eastAsia"/>
                      <w:color w:val="auto"/>
                      <w:lang w:val="en-US" w:eastAsia="zh-CN"/>
                    </w:rPr>
                    <w:t>+</w:t>
                  </w:r>
                  <w:r>
                    <w:rPr>
                      <w:color w:val="auto"/>
                    </w:rPr>
                    <w:t>0.0084/0.0014</w:t>
                  </w:r>
                </w:p>
              </w:tc>
            </w:tr>
            <w:tr w14:paraId="53A383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67" w:type="pct"/>
                  <w:vMerge w:val="restart"/>
                  <w:tcBorders>
                    <w:tl2br w:val="nil"/>
                    <w:tr2bl w:val="nil"/>
                  </w:tcBorders>
                  <w:vAlign w:val="center"/>
                </w:tcPr>
                <w:p w14:paraId="6193B1BD">
                  <w:pPr>
                    <w:pStyle w:val="41"/>
                    <w:adjustRightInd w:val="0"/>
                    <w:rPr>
                      <w:color w:val="auto"/>
                    </w:rPr>
                  </w:pPr>
                  <w:r>
                    <w:rPr>
                      <w:color w:val="auto"/>
                    </w:rPr>
                    <w:t>固废</w:t>
                  </w:r>
                </w:p>
              </w:tc>
              <w:tc>
                <w:tcPr>
                  <w:tcW w:w="1457" w:type="pct"/>
                  <w:gridSpan w:val="2"/>
                  <w:tcBorders>
                    <w:tl2br w:val="nil"/>
                    <w:tr2bl w:val="nil"/>
                  </w:tcBorders>
                  <w:vAlign w:val="center"/>
                </w:tcPr>
                <w:p w14:paraId="7A1687BB">
                  <w:pPr>
                    <w:pStyle w:val="41"/>
                    <w:adjustRightInd w:val="0"/>
                    <w:rPr>
                      <w:color w:val="auto"/>
                    </w:rPr>
                  </w:pPr>
                  <w:r>
                    <w:rPr>
                      <w:color w:val="auto"/>
                    </w:rPr>
                    <w:t>一般固废</w:t>
                  </w:r>
                </w:p>
              </w:tc>
              <w:tc>
                <w:tcPr>
                  <w:tcW w:w="651" w:type="pct"/>
                  <w:tcBorders>
                    <w:tl2br w:val="nil"/>
                    <w:tr2bl w:val="nil"/>
                  </w:tcBorders>
                  <w:vAlign w:val="center"/>
                </w:tcPr>
                <w:p w14:paraId="4D621C99">
                  <w:pPr>
                    <w:pStyle w:val="41"/>
                    <w:adjustRightInd w:val="0"/>
                    <w:rPr>
                      <w:rFonts w:hint="default" w:eastAsia="宋体"/>
                      <w:color w:val="auto"/>
                      <w:lang w:val="en-US" w:eastAsia="zh-CN"/>
                    </w:rPr>
                  </w:pPr>
                  <w:r>
                    <w:rPr>
                      <w:rFonts w:hint="eastAsia"/>
                      <w:color w:val="auto"/>
                      <w:lang w:val="en-US" w:eastAsia="zh-CN"/>
                    </w:rPr>
                    <w:t>329.49</w:t>
                  </w:r>
                </w:p>
              </w:tc>
              <w:tc>
                <w:tcPr>
                  <w:tcW w:w="642" w:type="pct"/>
                  <w:tcBorders>
                    <w:tl2br w:val="nil"/>
                    <w:tr2bl w:val="nil"/>
                  </w:tcBorders>
                  <w:vAlign w:val="center"/>
                </w:tcPr>
                <w:p w14:paraId="47F0099A">
                  <w:pPr>
                    <w:pStyle w:val="41"/>
                    <w:adjustRightInd w:val="0"/>
                    <w:rPr>
                      <w:rFonts w:hint="eastAsia" w:eastAsia="宋体"/>
                      <w:color w:val="auto"/>
                      <w:lang w:val="en-US" w:eastAsia="zh-CN"/>
                    </w:rPr>
                  </w:pPr>
                  <w:r>
                    <w:rPr>
                      <w:rStyle w:val="33"/>
                      <w:rFonts w:hint="eastAsia"/>
                      <w:color w:val="auto"/>
                      <w:kern w:val="0"/>
                      <w:lang w:val="en-US" w:eastAsia="zh-CN"/>
                    </w:rPr>
                    <w:t>0</w:t>
                  </w:r>
                </w:p>
              </w:tc>
              <w:tc>
                <w:tcPr>
                  <w:tcW w:w="605" w:type="pct"/>
                  <w:tcBorders>
                    <w:tl2br w:val="nil"/>
                    <w:tr2bl w:val="nil"/>
                  </w:tcBorders>
                  <w:vAlign w:val="center"/>
                </w:tcPr>
                <w:p w14:paraId="5EAD21A0">
                  <w:pPr>
                    <w:pStyle w:val="41"/>
                    <w:adjustRightInd w:val="0"/>
                    <w:rPr>
                      <w:color w:val="auto"/>
                    </w:rPr>
                  </w:pPr>
                  <w:r>
                    <w:rPr>
                      <w:color w:val="auto"/>
                    </w:rPr>
                    <w:t>0</w:t>
                  </w:r>
                </w:p>
              </w:tc>
              <w:tc>
                <w:tcPr>
                  <w:tcW w:w="695" w:type="pct"/>
                  <w:tcBorders>
                    <w:tl2br w:val="nil"/>
                    <w:tr2bl w:val="nil"/>
                  </w:tcBorders>
                  <w:vAlign w:val="center"/>
                </w:tcPr>
                <w:p w14:paraId="32EFD84F">
                  <w:pPr>
                    <w:pStyle w:val="41"/>
                    <w:adjustRightInd w:val="0"/>
                    <w:rPr>
                      <w:color w:val="auto"/>
                    </w:rPr>
                  </w:pPr>
                  <w:r>
                    <w:rPr>
                      <w:color w:val="auto"/>
                    </w:rPr>
                    <w:t>0</w:t>
                  </w:r>
                </w:p>
              </w:tc>
              <w:tc>
                <w:tcPr>
                  <w:tcW w:w="681" w:type="pct"/>
                  <w:tcBorders>
                    <w:tl2br w:val="nil"/>
                    <w:tr2bl w:val="nil"/>
                  </w:tcBorders>
                  <w:vAlign w:val="center"/>
                </w:tcPr>
                <w:p w14:paraId="364A18BB">
                  <w:pPr>
                    <w:pStyle w:val="41"/>
                    <w:adjustRightInd w:val="0"/>
                    <w:rPr>
                      <w:color w:val="auto"/>
                    </w:rPr>
                  </w:pPr>
                  <w:r>
                    <w:rPr>
                      <w:color w:val="auto"/>
                    </w:rPr>
                    <w:t>0</w:t>
                  </w:r>
                </w:p>
              </w:tc>
            </w:tr>
            <w:tr w14:paraId="0B6253F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67" w:type="pct"/>
                  <w:vMerge w:val="continue"/>
                  <w:tcBorders>
                    <w:tl2br w:val="nil"/>
                    <w:tr2bl w:val="nil"/>
                  </w:tcBorders>
                  <w:vAlign w:val="center"/>
                </w:tcPr>
                <w:p w14:paraId="42E8FC4C">
                  <w:pPr>
                    <w:pStyle w:val="41"/>
                    <w:adjustRightInd w:val="0"/>
                    <w:rPr>
                      <w:color w:val="auto"/>
                    </w:rPr>
                  </w:pPr>
                </w:p>
              </w:tc>
              <w:tc>
                <w:tcPr>
                  <w:tcW w:w="1457" w:type="pct"/>
                  <w:gridSpan w:val="2"/>
                  <w:tcBorders>
                    <w:tl2br w:val="nil"/>
                    <w:tr2bl w:val="nil"/>
                  </w:tcBorders>
                  <w:vAlign w:val="center"/>
                </w:tcPr>
                <w:p w14:paraId="7F23BB82">
                  <w:pPr>
                    <w:pStyle w:val="41"/>
                    <w:adjustRightInd w:val="0"/>
                    <w:rPr>
                      <w:color w:val="auto"/>
                    </w:rPr>
                  </w:pPr>
                  <w:r>
                    <w:rPr>
                      <w:color w:val="auto"/>
                    </w:rPr>
                    <w:t>危险废物</w:t>
                  </w:r>
                </w:p>
              </w:tc>
              <w:tc>
                <w:tcPr>
                  <w:tcW w:w="651" w:type="pct"/>
                  <w:tcBorders>
                    <w:tl2br w:val="nil"/>
                    <w:tr2bl w:val="nil"/>
                  </w:tcBorders>
                  <w:shd w:val="clear" w:color="auto" w:fill="auto"/>
                  <w:vAlign w:val="center"/>
                </w:tcPr>
                <w:p w14:paraId="18DD6A82">
                  <w:pPr>
                    <w:pStyle w:val="41"/>
                    <w:adjustRightInd w:val="0"/>
                    <w:rPr>
                      <w:rFonts w:hint="default" w:eastAsia="宋体"/>
                      <w:color w:val="auto"/>
                      <w:lang w:val="en-US" w:eastAsia="zh-CN"/>
                    </w:rPr>
                  </w:pPr>
                  <w:r>
                    <w:rPr>
                      <w:rFonts w:hint="eastAsia"/>
                      <w:color w:val="auto"/>
                    </w:rPr>
                    <w:t>34.</w:t>
                  </w:r>
                  <w:r>
                    <w:rPr>
                      <w:rFonts w:hint="eastAsia"/>
                      <w:color w:val="auto"/>
                      <w:lang w:val="en-US" w:eastAsia="zh-CN"/>
                    </w:rPr>
                    <w:t>527</w:t>
                  </w:r>
                </w:p>
              </w:tc>
              <w:tc>
                <w:tcPr>
                  <w:tcW w:w="642" w:type="pct"/>
                  <w:tcBorders>
                    <w:tl2br w:val="nil"/>
                    <w:tr2bl w:val="nil"/>
                  </w:tcBorders>
                  <w:shd w:val="clear" w:color="auto" w:fill="auto"/>
                  <w:vAlign w:val="center"/>
                </w:tcPr>
                <w:p w14:paraId="014BAF82">
                  <w:pPr>
                    <w:pStyle w:val="41"/>
                    <w:adjustRightInd w:val="0"/>
                    <w:rPr>
                      <w:rFonts w:hint="eastAsia" w:eastAsia="宋体"/>
                      <w:color w:val="auto"/>
                      <w:lang w:val="en-US" w:eastAsia="zh-CN"/>
                    </w:rPr>
                  </w:pPr>
                  <w:r>
                    <w:rPr>
                      <w:rFonts w:hint="eastAsia"/>
                      <w:color w:val="auto"/>
                      <w:lang w:val="en-US" w:eastAsia="zh-CN"/>
                    </w:rPr>
                    <w:t>0</w:t>
                  </w:r>
                </w:p>
              </w:tc>
              <w:tc>
                <w:tcPr>
                  <w:tcW w:w="605" w:type="pct"/>
                  <w:tcBorders>
                    <w:tl2br w:val="nil"/>
                    <w:tr2bl w:val="nil"/>
                  </w:tcBorders>
                  <w:vAlign w:val="center"/>
                </w:tcPr>
                <w:p w14:paraId="4F98BD22">
                  <w:pPr>
                    <w:pStyle w:val="41"/>
                    <w:adjustRightInd w:val="0"/>
                    <w:rPr>
                      <w:color w:val="auto"/>
                    </w:rPr>
                  </w:pPr>
                  <w:r>
                    <w:rPr>
                      <w:color w:val="auto"/>
                    </w:rPr>
                    <w:t>0</w:t>
                  </w:r>
                </w:p>
              </w:tc>
              <w:tc>
                <w:tcPr>
                  <w:tcW w:w="695" w:type="pct"/>
                  <w:tcBorders>
                    <w:tl2br w:val="nil"/>
                    <w:tr2bl w:val="nil"/>
                  </w:tcBorders>
                  <w:vAlign w:val="center"/>
                </w:tcPr>
                <w:p w14:paraId="319C8FF4">
                  <w:pPr>
                    <w:pStyle w:val="41"/>
                    <w:adjustRightInd w:val="0"/>
                    <w:rPr>
                      <w:color w:val="auto"/>
                    </w:rPr>
                  </w:pPr>
                  <w:r>
                    <w:rPr>
                      <w:color w:val="auto"/>
                    </w:rPr>
                    <w:t>0</w:t>
                  </w:r>
                </w:p>
              </w:tc>
              <w:tc>
                <w:tcPr>
                  <w:tcW w:w="681" w:type="pct"/>
                  <w:tcBorders>
                    <w:tl2br w:val="nil"/>
                    <w:tr2bl w:val="nil"/>
                  </w:tcBorders>
                  <w:vAlign w:val="center"/>
                </w:tcPr>
                <w:p w14:paraId="5E4B5756">
                  <w:pPr>
                    <w:pStyle w:val="41"/>
                    <w:adjustRightInd w:val="0"/>
                    <w:rPr>
                      <w:color w:val="auto"/>
                    </w:rPr>
                  </w:pPr>
                  <w:r>
                    <w:rPr>
                      <w:color w:val="auto"/>
                    </w:rPr>
                    <w:t>0</w:t>
                  </w:r>
                </w:p>
              </w:tc>
            </w:tr>
            <w:tr w14:paraId="7F8D82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trPr>
              <w:tc>
                <w:tcPr>
                  <w:tcW w:w="267" w:type="pct"/>
                  <w:vMerge w:val="continue"/>
                  <w:tcBorders>
                    <w:tl2br w:val="nil"/>
                    <w:tr2bl w:val="nil"/>
                  </w:tcBorders>
                  <w:vAlign w:val="center"/>
                </w:tcPr>
                <w:p w14:paraId="563BD66A">
                  <w:pPr>
                    <w:pStyle w:val="41"/>
                    <w:adjustRightInd w:val="0"/>
                    <w:rPr>
                      <w:color w:val="auto"/>
                    </w:rPr>
                  </w:pPr>
                </w:p>
              </w:tc>
              <w:tc>
                <w:tcPr>
                  <w:tcW w:w="1457" w:type="pct"/>
                  <w:gridSpan w:val="2"/>
                  <w:tcBorders>
                    <w:tl2br w:val="nil"/>
                    <w:tr2bl w:val="nil"/>
                  </w:tcBorders>
                  <w:vAlign w:val="center"/>
                </w:tcPr>
                <w:p w14:paraId="509D7660">
                  <w:pPr>
                    <w:pStyle w:val="41"/>
                    <w:adjustRightInd w:val="0"/>
                    <w:rPr>
                      <w:color w:val="auto"/>
                    </w:rPr>
                  </w:pPr>
                  <w:r>
                    <w:rPr>
                      <w:color w:val="auto"/>
                    </w:rPr>
                    <w:t>生活垃圾</w:t>
                  </w:r>
                </w:p>
              </w:tc>
              <w:tc>
                <w:tcPr>
                  <w:tcW w:w="651" w:type="pct"/>
                  <w:tcBorders>
                    <w:tl2br w:val="nil"/>
                    <w:tr2bl w:val="nil"/>
                  </w:tcBorders>
                  <w:vAlign w:val="center"/>
                </w:tcPr>
                <w:p w14:paraId="43D320DC">
                  <w:pPr>
                    <w:pStyle w:val="41"/>
                    <w:adjustRightInd w:val="0"/>
                    <w:rPr>
                      <w:color w:val="auto"/>
                    </w:rPr>
                  </w:pPr>
                  <w:r>
                    <w:rPr>
                      <w:color w:val="auto"/>
                    </w:rPr>
                    <w:t>2.04</w:t>
                  </w:r>
                </w:p>
              </w:tc>
              <w:tc>
                <w:tcPr>
                  <w:tcW w:w="642" w:type="pct"/>
                  <w:tcBorders>
                    <w:tl2br w:val="nil"/>
                    <w:tr2bl w:val="nil"/>
                  </w:tcBorders>
                  <w:vAlign w:val="center"/>
                </w:tcPr>
                <w:p w14:paraId="15A0658D">
                  <w:pPr>
                    <w:pStyle w:val="41"/>
                    <w:adjustRightInd w:val="0"/>
                    <w:rPr>
                      <w:rFonts w:hint="eastAsia" w:eastAsia="宋体"/>
                      <w:color w:val="auto"/>
                      <w:lang w:val="en-US" w:eastAsia="zh-CN"/>
                    </w:rPr>
                  </w:pPr>
                  <w:r>
                    <w:rPr>
                      <w:rStyle w:val="33"/>
                      <w:rFonts w:hint="eastAsia"/>
                      <w:color w:val="auto"/>
                      <w:kern w:val="0"/>
                      <w:lang w:val="en-US" w:eastAsia="zh-CN"/>
                    </w:rPr>
                    <w:t>0</w:t>
                  </w:r>
                </w:p>
              </w:tc>
              <w:tc>
                <w:tcPr>
                  <w:tcW w:w="605" w:type="pct"/>
                  <w:tcBorders>
                    <w:tl2br w:val="nil"/>
                    <w:tr2bl w:val="nil"/>
                  </w:tcBorders>
                  <w:vAlign w:val="center"/>
                </w:tcPr>
                <w:p w14:paraId="45648C97">
                  <w:pPr>
                    <w:pStyle w:val="41"/>
                    <w:adjustRightInd w:val="0"/>
                    <w:rPr>
                      <w:color w:val="auto"/>
                    </w:rPr>
                  </w:pPr>
                  <w:r>
                    <w:rPr>
                      <w:color w:val="auto"/>
                    </w:rPr>
                    <w:t>0</w:t>
                  </w:r>
                </w:p>
              </w:tc>
              <w:tc>
                <w:tcPr>
                  <w:tcW w:w="695" w:type="pct"/>
                  <w:tcBorders>
                    <w:tl2br w:val="nil"/>
                    <w:tr2bl w:val="nil"/>
                  </w:tcBorders>
                  <w:vAlign w:val="center"/>
                </w:tcPr>
                <w:p w14:paraId="3D7269CD">
                  <w:pPr>
                    <w:pStyle w:val="41"/>
                    <w:adjustRightInd w:val="0"/>
                    <w:rPr>
                      <w:color w:val="auto"/>
                    </w:rPr>
                  </w:pPr>
                  <w:r>
                    <w:rPr>
                      <w:color w:val="auto"/>
                    </w:rPr>
                    <w:t>0</w:t>
                  </w:r>
                </w:p>
              </w:tc>
              <w:tc>
                <w:tcPr>
                  <w:tcW w:w="681" w:type="pct"/>
                  <w:tcBorders>
                    <w:tl2br w:val="nil"/>
                    <w:tr2bl w:val="nil"/>
                  </w:tcBorders>
                  <w:vAlign w:val="center"/>
                </w:tcPr>
                <w:p w14:paraId="6951BB5B">
                  <w:pPr>
                    <w:pStyle w:val="41"/>
                    <w:adjustRightInd w:val="0"/>
                    <w:rPr>
                      <w:color w:val="auto"/>
                    </w:rPr>
                  </w:pPr>
                  <w:r>
                    <w:rPr>
                      <w:color w:val="auto"/>
                    </w:rPr>
                    <w:t>0</w:t>
                  </w:r>
                </w:p>
              </w:tc>
            </w:tr>
          </w:tbl>
          <w:p w14:paraId="72DDE0C8">
            <w:pPr>
              <w:adjustRightInd w:val="0"/>
              <w:snapToGrid w:val="0"/>
              <w:ind w:firstLine="420" w:firstLineChars="200"/>
              <w:rPr>
                <w:color w:val="auto"/>
              </w:rPr>
            </w:pPr>
            <w:r>
              <w:rPr>
                <w:color w:val="auto"/>
              </w:rPr>
              <w:t>注：</w:t>
            </w:r>
            <w:r>
              <w:rPr>
                <w:rFonts w:hint="eastAsia"/>
                <w:color w:val="auto"/>
              </w:rPr>
              <w:t>“</w:t>
            </w:r>
            <w:r>
              <w:rPr>
                <w:color w:val="auto"/>
              </w:rPr>
              <w:t>/</w:t>
            </w:r>
            <w:r>
              <w:rPr>
                <w:rFonts w:hint="eastAsia"/>
                <w:color w:val="auto"/>
              </w:rPr>
              <w:t>”</w:t>
            </w:r>
            <w:r>
              <w:rPr>
                <w:color w:val="auto"/>
              </w:rPr>
              <w:t>前指接管量，</w:t>
            </w:r>
            <w:r>
              <w:rPr>
                <w:rFonts w:hint="eastAsia"/>
                <w:color w:val="auto"/>
              </w:rPr>
              <w:t>“</w:t>
            </w:r>
            <w:r>
              <w:rPr>
                <w:color w:val="auto"/>
              </w:rPr>
              <w:t>/</w:t>
            </w:r>
            <w:r>
              <w:rPr>
                <w:rFonts w:hint="eastAsia"/>
                <w:color w:val="auto"/>
              </w:rPr>
              <w:t>”</w:t>
            </w:r>
            <w:r>
              <w:rPr>
                <w:color w:val="auto"/>
              </w:rPr>
              <w:t>后指排入外环境的量。</w:t>
            </w:r>
          </w:p>
          <w:p w14:paraId="45053B30">
            <w:pPr>
              <w:pStyle w:val="44"/>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color w:val="auto"/>
              </w:rPr>
            </w:pPr>
            <w:r>
              <w:rPr>
                <w:color w:val="auto"/>
                <w:sz w:val="24"/>
                <w:szCs w:val="24"/>
              </w:rPr>
              <w:t>由上表可见，本项目建成后废气污染物排放量为</w:t>
            </w:r>
            <w:r>
              <w:rPr>
                <w:rFonts w:ascii="Times New Roman" w:hAnsi="Times New Roman" w:eastAsia="宋体" w:cs="Times New Roman"/>
                <w:color w:val="auto"/>
                <w:sz w:val="24"/>
                <w:szCs w:val="24"/>
              </w:rPr>
              <w:t>非甲烷总烃</w:t>
            </w:r>
            <w:r>
              <w:rPr>
                <w:rFonts w:hint="eastAsia" w:ascii="Times New Roman" w:hAnsi="Times New Roman" w:eastAsia="宋体" w:cs="Times New Roman"/>
                <w:color w:val="auto"/>
                <w:sz w:val="24"/>
                <w:szCs w:val="24"/>
                <w:lang w:val="en-US" w:eastAsia="zh-CN"/>
              </w:rPr>
              <w:t>0.608</w:t>
            </w:r>
            <w:r>
              <w:rPr>
                <w:rFonts w:ascii="Times New Roman" w:hAnsi="Times New Roman" w:eastAsia="宋体" w:cs="Times New Roman"/>
                <w:color w:val="auto"/>
                <w:sz w:val="24"/>
                <w:szCs w:val="24"/>
              </w:rPr>
              <w:t>t/</w:t>
            </w:r>
            <w:r>
              <w:rPr>
                <w:color w:val="auto"/>
                <w:sz w:val="24"/>
                <w:szCs w:val="24"/>
              </w:rPr>
              <w:t>a</w:t>
            </w:r>
            <w:r>
              <w:rPr>
                <w:rFonts w:hint="eastAsia"/>
                <w:color w:val="auto"/>
                <w:sz w:val="24"/>
                <w:szCs w:val="24"/>
                <w:lang w:eastAsia="zh-CN"/>
              </w:rPr>
              <w:t>，</w:t>
            </w:r>
            <w:r>
              <w:rPr>
                <w:rFonts w:hint="eastAsia"/>
                <w:color w:val="auto"/>
                <w:sz w:val="24"/>
                <w:szCs w:val="24"/>
                <w:lang w:val="en-US" w:eastAsia="zh-CN"/>
              </w:rPr>
              <w:t>其中有组织0.288t/a，无组织0.32t/a</w:t>
            </w:r>
            <w:r>
              <w:rPr>
                <w:color w:val="auto"/>
                <w:sz w:val="24"/>
                <w:szCs w:val="24"/>
              </w:rPr>
              <w:t>，根据总量控制原则，新增总量在江阴</w:t>
            </w:r>
            <w:r>
              <w:rPr>
                <w:rFonts w:hint="eastAsia"/>
                <w:color w:val="auto"/>
                <w:sz w:val="24"/>
                <w:szCs w:val="24"/>
              </w:rPr>
              <w:t>周庄</w:t>
            </w:r>
            <w:r>
              <w:rPr>
                <w:color w:val="auto"/>
                <w:sz w:val="24"/>
                <w:szCs w:val="24"/>
              </w:rPr>
              <w:t>镇内平衡。全厂生活</w:t>
            </w:r>
            <w:r>
              <w:rPr>
                <w:rFonts w:ascii="Times New Roman" w:hAnsi="Times New Roman" w:eastAsia="宋体" w:cs="Times New Roman"/>
                <w:color w:val="auto"/>
                <w:sz w:val="24"/>
                <w:szCs w:val="24"/>
              </w:rPr>
              <w:t>污水接管量为</w:t>
            </w:r>
            <w:r>
              <w:rPr>
                <w:rFonts w:hint="eastAsia" w:ascii="Times New Roman" w:hAnsi="Times New Roman" w:eastAsia="宋体" w:cs="Times New Roman"/>
                <w:color w:val="auto"/>
                <w:sz w:val="24"/>
                <w:szCs w:val="24"/>
              </w:rPr>
              <w:t>120</w:t>
            </w:r>
            <w:r>
              <w:rPr>
                <w:rFonts w:ascii="Times New Roman" w:hAnsi="Times New Roman" w:eastAsia="宋体" w:cs="Times New Roman"/>
                <w:color w:val="auto"/>
                <w:sz w:val="24"/>
                <w:szCs w:val="24"/>
              </w:rPr>
              <w:t>t/a，COD、氨氮、总磷、总氮接管量分别为0.0540t/a、0.0054t/a、0.0010t/a、0.0084t/a</w:t>
            </w:r>
            <w:r>
              <w:rPr>
                <w:rFonts w:hint="eastAsia" w:ascii="Times New Roman" w:hAnsi="Times New Roman" w:eastAsia="宋体" w:cs="Times New Roman"/>
                <w:color w:val="auto"/>
                <w:sz w:val="24"/>
                <w:szCs w:val="24"/>
                <w:lang w:eastAsia="zh-CN"/>
              </w:rPr>
              <w:t>，</w:t>
            </w:r>
            <w:r>
              <w:rPr>
                <w:rFonts w:ascii="Times New Roman" w:hAnsi="Times New Roman" w:eastAsia="宋体" w:cs="Times New Roman"/>
                <w:color w:val="auto"/>
                <w:sz w:val="24"/>
                <w:szCs w:val="24"/>
              </w:rPr>
              <w:t>COD、氨氮、总磷、总氮</w:t>
            </w:r>
            <w:r>
              <w:rPr>
                <w:rFonts w:hint="eastAsia" w:ascii="Times New Roman" w:hAnsi="Times New Roman" w:eastAsia="宋体" w:cs="Times New Roman"/>
                <w:color w:val="auto"/>
                <w:sz w:val="24"/>
                <w:szCs w:val="24"/>
                <w:lang w:val="en-US" w:eastAsia="zh-CN"/>
              </w:rPr>
              <w:t>最终外排量为</w:t>
            </w:r>
            <w:r>
              <w:rPr>
                <w:rFonts w:ascii="Times New Roman" w:hAnsi="Times New Roman" w:eastAsia="宋体" w:cs="Times New Roman"/>
                <w:color w:val="auto"/>
                <w:sz w:val="24"/>
                <w:szCs w:val="24"/>
              </w:rPr>
              <w:t>0.0060t/a、0.0005t/a、0.0001t/a、0.0014t/a。本项目废水污染物排放总量在</w:t>
            </w:r>
            <w:r>
              <w:rPr>
                <w:rFonts w:hint="eastAsia" w:ascii="Times New Roman" w:hAnsi="Times New Roman" w:eastAsia="宋体" w:cs="Times New Roman"/>
                <w:color w:val="auto"/>
                <w:sz w:val="24"/>
                <w:szCs w:val="24"/>
              </w:rPr>
              <w:t>周庄</w:t>
            </w:r>
            <w:r>
              <w:rPr>
                <w:rFonts w:ascii="Times New Roman" w:hAnsi="Times New Roman" w:eastAsia="宋体" w:cs="Times New Roman"/>
                <w:color w:val="auto"/>
                <w:sz w:val="24"/>
                <w:szCs w:val="24"/>
              </w:rPr>
              <w:t>镇内平衡。固体废物排放量为零，符合总量控制要求。</w:t>
            </w:r>
          </w:p>
        </w:tc>
      </w:tr>
    </w:tbl>
    <w:p w14:paraId="7CDCD0C6">
      <w:pPr>
        <w:pStyle w:val="13"/>
        <w:ind w:left="0" w:leftChars="0" w:right="1470"/>
        <w:rPr>
          <w:color w:val="auto"/>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14:paraId="3E4231A4">
      <w:pPr>
        <w:pStyle w:val="21"/>
        <w:jc w:val="center"/>
        <w:outlineLvl w:val="0"/>
        <w:rPr>
          <w:rFonts w:asciiTheme="minorEastAsia" w:hAnsiTheme="minorEastAsia" w:eastAsiaTheme="minorEastAsia" w:cstheme="minorEastAsia"/>
          <w:b/>
          <w:bCs/>
          <w:snapToGrid w:val="0"/>
          <w:color w:val="auto"/>
          <w:sz w:val="30"/>
          <w:szCs w:val="30"/>
        </w:rPr>
      </w:pPr>
      <w:r>
        <w:rPr>
          <w:rFonts w:hint="eastAsia" w:asciiTheme="minorEastAsia" w:hAnsiTheme="minorEastAsia" w:eastAsiaTheme="minorEastAsia" w:cstheme="minorEastAsia"/>
          <w:b/>
          <w:bCs/>
          <w:snapToGrid w:val="0"/>
          <w:color w:val="auto"/>
          <w:sz w:val="30"/>
          <w:szCs w:val="30"/>
        </w:rPr>
        <w:t>四、主要环境影响和保护措施</w:t>
      </w:r>
    </w:p>
    <w:tbl>
      <w:tblPr>
        <w:tblStyle w:val="26"/>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80"/>
        <w:gridCol w:w="8128"/>
      </w:tblGrid>
      <w:tr w14:paraId="576FC9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0" w:type="dxa"/>
            <w:tcMar>
              <w:left w:w="28" w:type="dxa"/>
              <w:right w:w="28" w:type="dxa"/>
            </w:tcMar>
            <w:vAlign w:val="center"/>
          </w:tcPr>
          <w:p w14:paraId="0C774835">
            <w:pPr>
              <w:pStyle w:val="21"/>
              <w:adjustRightInd w:val="0"/>
              <w:snapToGrid w:val="0"/>
              <w:spacing w:before="0" w:beforeAutospacing="0" w:after="0" w:afterAutospacing="0"/>
              <w:jc w:val="center"/>
              <w:rPr>
                <w:rFonts w:ascii="Times New Roman" w:hAnsi="Times New Roman"/>
                <w:color w:val="auto"/>
                <w:sz w:val="21"/>
                <w:szCs w:val="21"/>
              </w:rPr>
            </w:pPr>
            <w:r>
              <w:rPr>
                <w:rFonts w:ascii="Times New Roman" w:hAnsi="Times New Roman"/>
                <w:color w:val="auto"/>
                <w:sz w:val="21"/>
                <w:szCs w:val="21"/>
              </w:rPr>
              <w:t>施工</w:t>
            </w:r>
          </w:p>
          <w:p w14:paraId="5719D4BF">
            <w:pPr>
              <w:pStyle w:val="21"/>
              <w:adjustRightInd w:val="0"/>
              <w:snapToGrid w:val="0"/>
              <w:spacing w:before="0" w:beforeAutospacing="0" w:after="0" w:afterAutospacing="0"/>
              <w:jc w:val="center"/>
              <w:rPr>
                <w:rFonts w:ascii="Times New Roman" w:hAnsi="Times New Roman"/>
                <w:color w:val="auto"/>
                <w:sz w:val="21"/>
                <w:szCs w:val="21"/>
              </w:rPr>
            </w:pPr>
            <w:r>
              <w:rPr>
                <w:rFonts w:ascii="Times New Roman" w:hAnsi="Times New Roman"/>
                <w:color w:val="auto"/>
                <w:sz w:val="21"/>
                <w:szCs w:val="21"/>
              </w:rPr>
              <w:t>期环</w:t>
            </w:r>
          </w:p>
          <w:p w14:paraId="150385C5">
            <w:pPr>
              <w:pStyle w:val="21"/>
              <w:adjustRightInd w:val="0"/>
              <w:snapToGrid w:val="0"/>
              <w:spacing w:before="0" w:beforeAutospacing="0" w:after="0" w:afterAutospacing="0"/>
              <w:jc w:val="center"/>
              <w:rPr>
                <w:rFonts w:ascii="Times New Roman" w:hAnsi="Times New Roman"/>
                <w:color w:val="auto"/>
                <w:sz w:val="21"/>
                <w:szCs w:val="21"/>
              </w:rPr>
            </w:pPr>
            <w:r>
              <w:rPr>
                <w:rFonts w:ascii="Times New Roman" w:hAnsi="Times New Roman"/>
                <w:color w:val="auto"/>
                <w:sz w:val="21"/>
                <w:szCs w:val="21"/>
              </w:rPr>
              <w:t>境保</w:t>
            </w:r>
          </w:p>
          <w:p w14:paraId="432F9D00">
            <w:pPr>
              <w:pStyle w:val="21"/>
              <w:adjustRightInd w:val="0"/>
              <w:snapToGrid w:val="0"/>
              <w:spacing w:before="0" w:beforeAutospacing="0" w:after="0" w:afterAutospacing="0"/>
              <w:jc w:val="center"/>
              <w:rPr>
                <w:rFonts w:ascii="Times New Roman" w:hAnsi="Times New Roman"/>
                <w:color w:val="auto"/>
                <w:sz w:val="21"/>
                <w:szCs w:val="21"/>
              </w:rPr>
            </w:pPr>
            <w:r>
              <w:rPr>
                <w:rFonts w:ascii="Times New Roman" w:hAnsi="Times New Roman"/>
                <w:color w:val="auto"/>
                <w:sz w:val="21"/>
                <w:szCs w:val="21"/>
              </w:rPr>
              <w:t>护措</w:t>
            </w:r>
          </w:p>
          <w:p w14:paraId="14A6D8F4">
            <w:pPr>
              <w:pStyle w:val="21"/>
              <w:adjustRightInd w:val="0"/>
              <w:snapToGrid w:val="0"/>
              <w:spacing w:before="0" w:beforeAutospacing="0" w:after="0" w:afterAutospacing="0"/>
              <w:jc w:val="center"/>
              <w:rPr>
                <w:rFonts w:ascii="Times New Roman" w:hAnsi="Times New Roman"/>
                <w:bCs/>
                <w:color w:val="auto"/>
                <w:sz w:val="21"/>
                <w:szCs w:val="21"/>
              </w:rPr>
            </w:pPr>
            <w:r>
              <w:rPr>
                <w:rFonts w:ascii="Times New Roman" w:hAnsi="Times New Roman"/>
                <w:color w:val="auto"/>
                <w:sz w:val="21"/>
                <w:szCs w:val="21"/>
              </w:rPr>
              <w:t>施</w:t>
            </w:r>
          </w:p>
        </w:tc>
        <w:tc>
          <w:tcPr>
            <w:tcW w:w="8128" w:type="dxa"/>
            <w:vAlign w:val="center"/>
          </w:tcPr>
          <w:p w14:paraId="5FDDB4D9">
            <w:pPr>
              <w:pStyle w:val="13"/>
              <w:adjustRightInd w:val="0"/>
              <w:snapToGrid w:val="0"/>
              <w:spacing w:after="0"/>
              <w:ind w:left="0" w:leftChars="0" w:right="0" w:rightChars="0" w:firstLine="480" w:firstLineChars="200"/>
              <w:rPr>
                <w:color w:val="auto"/>
              </w:rPr>
            </w:pPr>
            <w:r>
              <w:rPr>
                <w:bCs/>
                <w:color w:val="auto"/>
                <w:sz w:val="24"/>
                <w:szCs w:val="24"/>
              </w:rPr>
              <w:t>本项目租赁厂房进行建设，不新增建筑物，故施工期工程主要包括厂房内部布局调整、设备购置、安装和调试等环节，公用、辅助工程和环保工程配套设施完善等。施工期较短，因此施工期产生的粉尘、噪声和废污水较小，经采取合理的防范措施后，对周围环境影响不大。</w:t>
            </w:r>
          </w:p>
        </w:tc>
      </w:tr>
      <w:tr w14:paraId="633BF0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03" w:hRule="atLeast"/>
          <w:jc w:val="center"/>
        </w:trPr>
        <w:tc>
          <w:tcPr>
            <w:tcW w:w="780" w:type="dxa"/>
            <w:tcMar>
              <w:left w:w="28" w:type="dxa"/>
              <w:right w:w="28" w:type="dxa"/>
            </w:tcMar>
            <w:vAlign w:val="center"/>
          </w:tcPr>
          <w:p w14:paraId="76834708">
            <w:pPr>
              <w:adjustRightInd w:val="0"/>
              <w:snapToGrid w:val="0"/>
              <w:jc w:val="center"/>
              <w:rPr>
                <w:bCs/>
                <w:color w:val="auto"/>
                <w:sz w:val="24"/>
                <w:szCs w:val="24"/>
              </w:rPr>
            </w:pPr>
            <w:r>
              <w:rPr>
                <w:bCs/>
                <w:color w:val="auto"/>
                <w:sz w:val="24"/>
                <w:szCs w:val="24"/>
              </w:rPr>
              <w:t>运营</w:t>
            </w:r>
          </w:p>
          <w:p w14:paraId="2548F485">
            <w:pPr>
              <w:adjustRightInd w:val="0"/>
              <w:snapToGrid w:val="0"/>
              <w:jc w:val="center"/>
              <w:rPr>
                <w:bCs/>
                <w:color w:val="auto"/>
                <w:sz w:val="24"/>
                <w:szCs w:val="24"/>
              </w:rPr>
            </w:pPr>
            <w:r>
              <w:rPr>
                <w:bCs/>
                <w:color w:val="auto"/>
                <w:sz w:val="24"/>
                <w:szCs w:val="24"/>
              </w:rPr>
              <w:t>期环</w:t>
            </w:r>
          </w:p>
          <w:p w14:paraId="7AD95A78">
            <w:pPr>
              <w:adjustRightInd w:val="0"/>
              <w:snapToGrid w:val="0"/>
              <w:jc w:val="center"/>
              <w:rPr>
                <w:bCs/>
                <w:color w:val="auto"/>
                <w:sz w:val="24"/>
                <w:szCs w:val="24"/>
              </w:rPr>
            </w:pPr>
            <w:r>
              <w:rPr>
                <w:bCs/>
                <w:color w:val="auto"/>
                <w:sz w:val="24"/>
                <w:szCs w:val="24"/>
              </w:rPr>
              <w:t>境影</w:t>
            </w:r>
          </w:p>
          <w:p w14:paraId="7F70AAB8">
            <w:pPr>
              <w:adjustRightInd w:val="0"/>
              <w:snapToGrid w:val="0"/>
              <w:jc w:val="center"/>
              <w:rPr>
                <w:bCs/>
                <w:color w:val="auto"/>
                <w:sz w:val="24"/>
                <w:szCs w:val="24"/>
              </w:rPr>
            </w:pPr>
            <w:r>
              <w:rPr>
                <w:bCs/>
                <w:color w:val="auto"/>
                <w:sz w:val="24"/>
                <w:szCs w:val="24"/>
              </w:rPr>
              <w:t>响和</w:t>
            </w:r>
          </w:p>
          <w:p w14:paraId="2052623C">
            <w:pPr>
              <w:adjustRightInd w:val="0"/>
              <w:snapToGrid w:val="0"/>
              <w:jc w:val="center"/>
              <w:rPr>
                <w:bCs/>
                <w:color w:val="auto"/>
                <w:sz w:val="24"/>
                <w:szCs w:val="24"/>
              </w:rPr>
            </w:pPr>
            <w:r>
              <w:rPr>
                <w:bCs/>
                <w:color w:val="auto"/>
                <w:sz w:val="24"/>
                <w:szCs w:val="24"/>
              </w:rPr>
              <w:t>保护</w:t>
            </w:r>
          </w:p>
          <w:p w14:paraId="138F6859">
            <w:pPr>
              <w:adjustRightInd w:val="0"/>
              <w:snapToGrid w:val="0"/>
              <w:jc w:val="center"/>
              <w:rPr>
                <w:bCs/>
                <w:color w:val="auto"/>
              </w:rPr>
            </w:pPr>
            <w:r>
              <w:rPr>
                <w:bCs/>
                <w:color w:val="auto"/>
                <w:sz w:val="24"/>
                <w:szCs w:val="24"/>
              </w:rPr>
              <w:t>措施</w:t>
            </w:r>
          </w:p>
        </w:tc>
        <w:tc>
          <w:tcPr>
            <w:tcW w:w="8128" w:type="dxa"/>
          </w:tcPr>
          <w:p w14:paraId="7FA2DBEB">
            <w:pPr>
              <w:pStyle w:val="4"/>
              <w:adjustRightInd w:val="0"/>
              <w:spacing w:before="0" w:after="0" w:line="360" w:lineRule="auto"/>
              <w:rPr>
                <w:rFonts w:eastAsia="宋体"/>
                <w:color w:val="auto"/>
                <w:sz w:val="24"/>
                <w:szCs w:val="24"/>
              </w:rPr>
            </w:pPr>
            <w:r>
              <w:rPr>
                <w:rFonts w:eastAsia="宋体"/>
                <w:color w:val="auto"/>
                <w:sz w:val="24"/>
                <w:szCs w:val="24"/>
              </w:rPr>
              <w:t>1、废气</w:t>
            </w:r>
          </w:p>
          <w:p w14:paraId="25DBD26A">
            <w:pPr>
              <w:pStyle w:val="4"/>
              <w:adjustRightInd w:val="0"/>
              <w:spacing w:before="0" w:after="0" w:line="360" w:lineRule="auto"/>
              <w:rPr>
                <w:rFonts w:eastAsia="宋体"/>
                <w:color w:val="auto"/>
                <w:sz w:val="24"/>
                <w:szCs w:val="24"/>
              </w:rPr>
            </w:pPr>
            <w:r>
              <w:rPr>
                <w:rFonts w:eastAsia="宋体"/>
                <w:color w:val="auto"/>
                <w:sz w:val="24"/>
                <w:szCs w:val="24"/>
              </w:rPr>
              <w:t>1.1废气产排情况</w:t>
            </w:r>
          </w:p>
          <w:p w14:paraId="7D23F2B6">
            <w:pPr>
              <w:pStyle w:val="13"/>
              <w:adjustRightInd w:val="0"/>
              <w:snapToGrid w:val="0"/>
              <w:spacing w:after="0"/>
              <w:ind w:left="0" w:leftChars="0" w:right="0" w:rightChars="0" w:firstLine="480" w:firstLineChars="200"/>
              <w:rPr>
                <w:bCs/>
                <w:color w:val="auto"/>
                <w:sz w:val="24"/>
                <w:szCs w:val="24"/>
              </w:rPr>
            </w:pPr>
            <w:r>
              <w:rPr>
                <w:rFonts w:hint="eastAsia"/>
                <w:bCs/>
                <w:color w:val="auto"/>
                <w:sz w:val="24"/>
                <w:szCs w:val="24"/>
              </w:rPr>
              <w:t>根据生产工艺分析，本项目废气主要为数码印花及烘干</w:t>
            </w:r>
            <w:r>
              <w:rPr>
                <w:bCs/>
                <w:color w:val="auto"/>
                <w:sz w:val="24"/>
                <w:szCs w:val="24"/>
              </w:rPr>
              <w:t>废气</w:t>
            </w:r>
            <w:r>
              <w:rPr>
                <w:rFonts w:hint="eastAsia"/>
                <w:bCs/>
                <w:color w:val="auto"/>
                <w:sz w:val="24"/>
                <w:szCs w:val="24"/>
              </w:rPr>
              <w:t>，热转移印花废气、危废仓库。</w:t>
            </w:r>
          </w:p>
          <w:p w14:paraId="672337E3">
            <w:pPr>
              <w:pStyle w:val="13"/>
              <w:adjustRightInd w:val="0"/>
              <w:snapToGrid w:val="0"/>
              <w:spacing w:after="0"/>
              <w:ind w:left="0" w:leftChars="0" w:right="0" w:rightChars="0" w:firstLine="480" w:firstLineChars="200"/>
              <w:rPr>
                <w:rFonts w:hint="eastAsia" w:ascii="宋体" w:hAnsi="宋体" w:eastAsia="宋体"/>
                <w:color w:val="auto"/>
                <w:sz w:val="24"/>
                <w:szCs w:val="24"/>
                <w:lang w:eastAsia="zh-CN"/>
              </w:rPr>
            </w:pPr>
            <w:r>
              <w:rPr>
                <w:rFonts w:hint="eastAsia" w:ascii="宋体" w:hAnsi="宋体"/>
                <w:color w:val="auto"/>
                <w:sz w:val="24"/>
                <w:szCs w:val="24"/>
              </w:rPr>
              <w:t>①数码印花及烘干</w:t>
            </w:r>
            <w:r>
              <w:rPr>
                <w:rFonts w:ascii="宋体" w:hAnsi="宋体"/>
                <w:color w:val="auto"/>
                <w:sz w:val="24"/>
                <w:szCs w:val="24"/>
              </w:rPr>
              <w:t>废气</w:t>
            </w:r>
            <w:r>
              <w:rPr>
                <w:rFonts w:hint="eastAsia" w:ascii="宋体" w:hAnsi="宋体"/>
                <w:color w:val="auto"/>
                <w:sz w:val="24"/>
                <w:szCs w:val="24"/>
                <w:lang w:eastAsia="zh-CN"/>
              </w:rPr>
              <w:t>、</w:t>
            </w:r>
            <w:r>
              <w:rPr>
                <w:rFonts w:hint="eastAsia"/>
                <w:bCs/>
                <w:color w:val="auto"/>
                <w:sz w:val="24"/>
                <w:szCs w:val="24"/>
              </w:rPr>
              <w:t>热转移印花废气</w:t>
            </w:r>
          </w:p>
          <w:p w14:paraId="4D23DE66">
            <w:pPr>
              <w:pStyle w:val="13"/>
              <w:adjustRightInd w:val="0"/>
              <w:snapToGrid w:val="0"/>
              <w:spacing w:after="0"/>
              <w:ind w:left="0" w:leftChars="0" w:right="0" w:rightChars="0" w:firstLine="480" w:firstLineChars="200"/>
              <w:rPr>
                <w:color w:val="auto"/>
                <w:sz w:val="24"/>
                <w:szCs w:val="24"/>
              </w:rPr>
            </w:pPr>
            <w:r>
              <w:rPr>
                <w:color w:val="auto"/>
                <w:sz w:val="24"/>
                <w:szCs w:val="24"/>
              </w:rPr>
              <w:t>项目在</w:t>
            </w:r>
            <w:r>
              <w:rPr>
                <w:rFonts w:hint="eastAsia" w:ascii="宋体" w:hAnsi="宋体"/>
                <w:color w:val="auto"/>
                <w:sz w:val="24"/>
                <w:szCs w:val="24"/>
              </w:rPr>
              <w:t>数码印花</w:t>
            </w:r>
            <w:r>
              <w:rPr>
                <w:rFonts w:hint="eastAsia" w:ascii="宋体" w:hAnsi="宋体"/>
                <w:color w:val="auto"/>
                <w:sz w:val="24"/>
                <w:szCs w:val="24"/>
                <w:lang w:eastAsia="zh-CN"/>
              </w:rPr>
              <w:t>、</w:t>
            </w:r>
            <w:r>
              <w:rPr>
                <w:rFonts w:hint="eastAsia" w:ascii="宋体" w:hAnsi="宋体"/>
                <w:color w:val="auto"/>
                <w:sz w:val="24"/>
                <w:szCs w:val="24"/>
              </w:rPr>
              <w:t>烘干</w:t>
            </w:r>
            <w:r>
              <w:rPr>
                <w:rFonts w:hint="eastAsia" w:ascii="宋体" w:hAnsi="宋体"/>
                <w:color w:val="auto"/>
                <w:sz w:val="24"/>
                <w:szCs w:val="24"/>
                <w:lang w:eastAsia="zh-CN"/>
              </w:rPr>
              <w:t>、</w:t>
            </w:r>
            <w:r>
              <w:rPr>
                <w:rFonts w:hint="eastAsia" w:ascii="宋体" w:hAnsi="宋体"/>
                <w:color w:val="auto"/>
                <w:sz w:val="24"/>
                <w:szCs w:val="24"/>
                <w:lang w:val="en-US" w:eastAsia="zh-CN"/>
              </w:rPr>
              <w:t>及</w:t>
            </w:r>
            <w:r>
              <w:rPr>
                <w:rFonts w:hint="eastAsia"/>
                <w:bCs/>
                <w:color w:val="auto"/>
                <w:sz w:val="24"/>
                <w:szCs w:val="24"/>
              </w:rPr>
              <w:t>热转移印</w:t>
            </w:r>
            <w:r>
              <w:rPr>
                <w:color w:val="auto"/>
                <w:sz w:val="24"/>
                <w:szCs w:val="24"/>
              </w:rPr>
              <w:t>过程中会产生</w:t>
            </w:r>
            <w:r>
              <w:rPr>
                <w:rFonts w:hint="eastAsia"/>
                <w:color w:val="auto"/>
                <w:sz w:val="24"/>
                <w:szCs w:val="24"/>
                <w:lang w:val="en-US" w:eastAsia="zh-CN"/>
              </w:rPr>
              <w:t>有机废气</w:t>
            </w:r>
            <w:r>
              <w:rPr>
                <w:color w:val="auto"/>
                <w:sz w:val="24"/>
                <w:szCs w:val="24"/>
              </w:rPr>
              <w:t>（以非甲烷总烃计）。根据水性墨水VOCs检验检测报告</w:t>
            </w:r>
            <w:r>
              <w:rPr>
                <w:rFonts w:hint="eastAsia"/>
                <w:color w:val="auto"/>
                <w:sz w:val="24"/>
                <w:szCs w:val="24"/>
              </w:rPr>
              <w:t>NO.</w:t>
            </w:r>
            <w:r>
              <w:rPr>
                <w:rFonts w:hint="eastAsia"/>
                <w:color w:val="auto"/>
                <w:sz w:val="24"/>
                <w:szCs w:val="24"/>
                <w:lang w:eastAsia="zh-CN"/>
              </w:rPr>
              <w:t>（</w:t>
            </w:r>
            <w:r>
              <w:rPr>
                <w:rFonts w:hint="eastAsia"/>
                <w:color w:val="auto"/>
                <w:sz w:val="24"/>
                <w:szCs w:val="24"/>
              </w:rPr>
              <w:t>2025</w:t>
            </w:r>
            <w:r>
              <w:rPr>
                <w:rFonts w:hint="eastAsia"/>
                <w:color w:val="auto"/>
                <w:sz w:val="24"/>
                <w:szCs w:val="24"/>
                <w:lang w:eastAsia="zh-CN"/>
              </w:rPr>
              <w:t>）</w:t>
            </w:r>
            <w:r>
              <w:rPr>
                <w:rFonts w:hint="eastAsia"/>
                <w:color w:val="auto"/>
                <w:sz w:val="24"/>
                <w:szCs w:val="24"/>
              </w:rPr>
              <w:t>HGWJ00375</w:t>
            </w:r>
            <w:r>
              <w:rPr>
                <w:color w:val="auto"/>
                <w:sz w:val="24"/>
                <w:szCs w:val="24"/>
              </w:rPr>
              <w:t>，VOCs含量百分比为2</w:t>
            </w:r>
            <w:r>
              <w:rPr>
                <w:rFonts w:hint="eastAsia"/>
                <w:color w:val="auto"/>
                <w:sz w:val="24"/>
                <w:szCs w:val="24"/>
              </w:rPr>
              <w:t>0</w:t>
            </w:r>
            <w:r>
              <w:rPr>
                <w:color w:val="auto"/>
                <w:sz w:val="24"/>
                <w:szCs w:val="24"/>
              </w:rPr>
              <w:t>%，项目使用水性墨水</w:t>
            </w:r>
            <w:r>
              <w:rPr>
                <w:rFonts w:hint="eastAsia"/>
                <w:snapToGrid w:val="0"/>
                <w:color w:val="auto"/>
                <w:kern w:val="0"/>
                <w:sz w:val="24"/>
                <w:szCs w:val="24"/>
              </w:rPr>
              <w:t>16</w:t>
            </w:r>
            <w:r>
              <w:rPr>
                <w:color w:val="auto"/>
                <w:sz w:val="24"/>
                <w:szCs w:val="24"/>
              </w:rPr>
              <w:t>吨/年，则产生非甲烷总烃</w:t>
            </w:r>
            <w:r>
              <w:rPr>
                <w:rFonts w:hint="eastAsia"/>
                <w:color w:val="auto"/>
                <w:sz w:val="24"/>
                <w:szCs w:val="24"/>
              </w:rPr>
              <w:t>3.2</w:t>
            </w:r>
            <w:r>
              <w:rPr>
                <w:color w:val="auto"/>
                <w:sz w:val="24"/>
                <w:szCs w:val="24"/>
              </w:rPr>
              <w:t>t/a。该工序日工作时间</w:t>
            </w:r>
            <w:r>
              <w:rPr>
                <w:rFonts w:hint="eastAsia"/>
                <w:color w:val="auto"/>
                <w:sz w:val="24"/>
                <w:szCs w:val="24"/>
              </w:rPr>
              <w:t>8</w:t>
            </w:r>
            <w:r>
              <w:rPr>
                <w:color w:val="auto"/>
                <w:sz w:val="24"/>
                <w:szCs w:val="24"/>
              </w:rPr>
              <w:t>h</w:t>
            </w:r>
            <w:r>
              <w:rPr>
                <w:rFonts w:hint="eastAsia"/>
                <w:color w:val="auto"/>
                <w:sz w:val="24"/>
                <w:szCs w:val="24"/>
              </w:rPr>
              <w:t>，经集气罩收集后引入“</w:t>
            </w:r>
            <w:r>
              <w:rPr>
                <w:rFonts w:hint="eastAsia"/>
                <w:color w:val="auto"/>
                <w:sz w:val="24"/>
                <w:szCs w:val="24"/>
                <w:lang w:val="en-US" w:eastAsia="zh-CN"/>
              </w:rPr>
              <w:t>二级活性炭</w:t>
            </w:r>
            <w:r>
              <w:rPr>
                <w:rFonts w:hint="eastAsia"/>
                <w:color w:val="auto"/>
                <w:sz w:val="24"/>
                <w:szCs w:val="24"/>
              </w:rPr>
              <w:t>”废气处理设施处置后通过15m高排气筒FQ-1排放，捕集率90％，去除率捕集率90％，有组织排放量0.288t/a、无组织排放量0.32t/a</w:t>
            </w:r>
            <w:r>
              <w:rPr>
                <w:color w:val="auto"/>
                <w:sz w:val="24"/>
                <w:szCs w:val="24"/>
              </w:rPr>
              <w:t>。</w:t>
            </w:r>
          </w:p>
          <w:p w14:paraId="6A832E56">
            <w:pPr>
              <w:adjustRightInd w:val="0"/>
              <w:snapToGrid w:val="0"/>
              <w:ind w:firstLine="480" w:firstLineChars="200"/>
              <w:rPr>
                <w:color w:val="auto"/>
                <w:sz w:val="24"/>
                <w:szCs w:val="24"/>
              </w:rPr>
            </w:pPr>
            <w:r>
              <w:rPr>
                <w:rFonts w:hint="eastAsia"/>
                <w:color w:val="auto"/>
                <w:sz w:val="24"/>
                <w:szCs w:val="24"/>
                <w:lang w:val="en-US" w:eastAsia="zh-CN"/>
              </w:rPr>
              <w:t>②</w:t>
            </w:r>
            <w:r>
              <w:rPr>
                <w:color w:val="auto"/>
                <w:sz w:val="24"/>
                <w:szCs w:val="24"/>
              </w:rPr>
              <w:t>危废仓库</w:t>
            </w:r>
            <w:r>
              <w:rPr>
                <w:rFonts w:hint="eastAsia"/>
                <w:color w:val="auto"/>
                <w:sz w:val="24"/>
                <w:szCs w:val="24"/>
              </w:rPr>
              <w:t>废气</w:t>
            </w:r>
          </w:p>
          <w:p w14:paraId="459599BF">
            <w:pPr>
              <w:adjustRightInd w:val="0"/>
              <w:snapToGrid w:val="0"/>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项目运营过程中，危废仓库中废包装桶、</w:t>
            </w:r>
            <w:r>
              <w:rPr>
                <w:rFonts w:hint="default" w:ascii="Times New Roman" w:hAnsi="Times New Roman" w:eastAsia="宋体" w:cs="Times New Roman"/>
                <w:color w:val="auto"/>
                <w:sz w:val="24"/>
                <w:szCs w:val="24"/>
                <w:lang w:val="en-US" w:eastAsia="zh-CN"/>
              </w:rPr>
              <w:t>废活性炭</w:t>
            </w:r>
            <w:r>
              <w:rPr>
                <w:rFonts w:hint="default" w:ascii="Times New Roman" w:hAnsi="Times New Roman" w:eastAsia="宋体" w:cs="Times New Roman"/>
                <w:color w:val="auto"/>
                <w:sz w:val="24"/>
                <w:szCs w:val="24"/>
              </w:rPr>
              <w:t>产生少量有机废气，</w:t>
            </w:r>
            <w:r>
              <w:rPr>
                <w:rFonts w:hint="default" w:ascii="Times New Roman" w:hAnsi="Times New Roman" w:eastAsia="宋体" w:cs="Times New Roman"/>
                <w:color w:val="auto"/>
                <w:sz w:val="24"/>
                <w:szCs w:val="24"/>
                <w:lang w:val="en-US" w:eastAsia="zh-CN"/>
              </w:rPr>
              <w:t>采用塑料薄膜对废包装桶及废活性炭进行密封贮存，同时减少危废贮存时间，及时委托危废单位处置</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少量溢出的有机废气</w:t>
            </w:r>
            <w:r>
              <w:rPr>
                <w:rFonts w:hint="eastAsia" w:cs="Times New Roman"/>
                <w:color w:val="auto"/>
                <w:sz w:val="24"/>
                <w:szCs w:val="24"/>
                <w:lang w:val="en-US" w:eastAsia="zh-CN"/>
              </w:rPr>
              <w:t>在车间无组织排放，溢出量较少，不定量分析</w:t>
            </w:r>
            <w:r>
              <w:rPr>
                <w:rFonts w:hint="default" w:ascii="Times New Roman" w:hAnsi="Times New Roman" w:eastAsia="宋体" w:cs="Times New Roman"/>
                <w:color w:val="auto"/>
                <w:sz w:val="24"/>
                <w:szCs w:val="24"/>
              </w:rPr>
              <w:t>。</w:t>
            </w:r>
          </w:p>
          <w:p w14:paraId="2AFD4D85">
            <w:pPr>
              <w:adjustRightInd w:val="0"/>
              <w:snapToGrid w:val="0"/>
              <w:ind w:firstLine="480" w:firstLineChars="200"/>
              <w:rPr>
                <w:bCs/>
                <w:color w:val="auto"/>
                <w:sz w:val="24"/>
              </w:rPr>
            </w:pPr>
            <w:r>
              <w:rPr>
                <w:bCs/>
                <w:color w:val="auto"/>
                <w:sz w:val="24"/>
              </w:rPr>
              <w:fldChar w:fldCharType="begin"/>
            </w:r>
            <w:r>
              <w:rPr>
                <w:bCs/>
                <w:color w:val="auto"/>
                <w:sz w:val="24"/>
              </w:rPr>
              <w:instrText xml:space="preserve">= 2 \* GB3</w:instrText>
            </w:r>
            <w:r>
              <w:rPr>
                <w:bCs/>
                <w:color w:val="auto"/>
                <w:sz w:val="24"/>
              </w:rPr>
              <w:fldChar w:fldCharType="separate"/>
            </w:r>
            <w:r>
              <w:rPr>
                <w:bCs/>
                <w:color w:val="auto"/>
                <w:sz w:val="24"/>
              </w:rPr>
              <w:t>②</w:t>
            </w:r>
            <w:r>
              <w:rPr>
                <w:bCs/>
                <w:color w:val="auto"/>
                <w:sz w:val="24"/>
              </w:rPr>
              <w:fldChar w:fldCharType="end"/>
            </w:r>
            <w:r>
              <w:rPr>
                <w:bCs/>
                <w:color w:val="auto"/>
                <w:sz w:val="24"/>
              </w:rPr>
              <w:t>工作原理</w:t>
            </w:r>
          </w:p>
          <w:p w14:paraId="0161F855">
            <w:pPr>
              <w:pStyle w:val="42"/>
              <w:spacing w:line="360" w:lineRule="auto"/>
              <w:ind w:firstLine="480" w:firstLineChars="200"/>
              <w:jc w:val="both"/>
              <w:rPr>
                <w:rFonts w:hint="default"/>
                <w:color w:val="auto"/>
                <w:sz w:val="24"/>
                <w:szCs w:val="24"/>
                <w:lang w:val="en-US" w:eastAsia="zh-CN"/>
              </w:rPr>
            </w:pPr>
            <w:r>
              <w:rPr>
                <w:rFonts w:hint="default"/>
                <w:color w:val="auto"/>
                <w:sz w:val="24"/>
                <w:szCs w:val="24"/>
                <w:lang w:val="en-US" w:eastAsia="zh-CN"/>
              </w:rPr>
              <w:t>活性炭吸附是一种常用的吸附方法，吸附法主要利用高孔隙率、高比表面积的吸附剂，藉由物理性吸附（可逆反应）或化学性键结（不可逆反应）作用，将有机气体分子自废气中分离，以达成净化废气的目的。由于一般多采用物理性吸附，随操作时间之增加，吸附剂将逐渐趋于饱和现象，此时则须进行脱附再生或吸附剂更换工作。在有机废气处理过程中，活性炭常被用来吸附烷烃、烯烃、芳香烃、酮、醛、氯代烃、酯以及挥发性有机化合物（VOCs）。</w:t>
            </w:r>
          </w:p>
          <w:p w14:paraId="510A375F">
            <w:pPr>
              <w:pStyle w:val="42"/>
              <w:spacing w:line="360" w:lineRule="auto"/>
              <w:ind w:firstLine="480" w:firstLineChars="200"/>
              <w:jc w:val="both"/>
              <w:rPr>
                <w:rFonts w:hint="default"/>
                <w:color w:val="auto"/>
                <w:sz w:val="24"/>
                <w:szCs w:val="24"/>
                <w:lang w:val="en-US" w:eastAsia="zh-CN"/>
              </w:rPr>
            </w:pPr>
            <w:r>
              <w:rPr>
                <w:rFonts w:hint="default"/>
                <w:color w:val="auto"/>
                <w:sz w:val="24"/>
                <w:szCs w:val="24"/>
                <w:lang w:val="en-US" w:eastAsia="zh-CN"/>
              </w:rPr>
              <w:t>活性炭是由各种含碳物质（如木材、泥煤、果核、椰壳等原料）在高温下炭化后，再用水蒸气或化学药品（如氯化锌、氯化锰、氯化钙和磷酸等）进行活化处理，然后制成的孔隙十分丰富的吸附剂，比表面积一般在700～1500m2/g范围内，具有优良的吸附能力。其孔径分布一般为：活性炭5nm以下，活性焦炭2nm以下，炭分子筛1nm以下。炭分子筛式新近发展的一种孔径均一的分子筛型新品种，具有良好的选择吸附能力。活性炭是一种具有非极性表面、疏水性、亲有机物的吸附剂。所以活性炭常常被用来吸附回收空气中的有机溶剂和恶臭物质，它可以根据需要制成不同性状和粒度，如粉末活性炭、颗粒活性炭及柱状活性炭。本项目采用的废气处理装置方法成熟，国内外许多化工企业多应用该法，处理效果好，其优点是设备较简单、处理效率高、运行成本相对较低。</w:t>
            </w:r>
          </w:p>
          <w:p w14:paraId="3ED125D5">
            <w:pPr>
              <w:pStyle w:val="42"/>
              <w:spacing w:line="360" w:lineRule="auto"/>
              <w:ind w:firstLine="480" w:firstLineChars="200"/>
              <w:jc w:val="both"/>
              <w:rPr>
                <w:rFonts w:hint="default"/>
                <w:color w:val="auto"/>
                <w:sz w:val="24"/>
                <w:szCs w:val="24"/>
              </w:rPr>
            </w:pPr>
            <w:r>
              <w:rPr>
                <w:rFonts w:hint="eastAsia"/>
                <w:color w:val="auto"/>
                <w:sz w:val="24"/>
                <w:szCs w:val="24"/>
                <w:lang w:val="en-US" w:eastAsia="zh-CN"/>
              </w:rPr>
              <w:t>根据《纺织工业污染防治可行技</w:t>
            </w:r>
            <w:r>
              <w:rPr>
                <w:rFonts w:hint="eastAsia"/>
                <w:color w:val="auto"/>
                <w:sz w:val="24"/>
                <w:szCs w:val="24"/>
              </w:rPr>
              <w:t>术指南》</w:t>
            </w:r>
            <w:r>
              <w:rPr>
                <w:rFonts w:hint="eastAsia"/>
                <w:color w:val="auto"/>
                <w:sz w:val="24"/>
                <w:szCs w:val="24"/>
                <w:lang w:val="en-US" w:eastAsia="zh-CN"/>
              </w:rPr>
              <w:t>HJ1177-2021，6.2废气治理技术中6.2.2挥发性有机物（VOCs）处理技术，</w:t>
            </w:r>
            <w:r>
              <w:rPr>
                <w:rFonts w:hint="eastAsia"/>
                <w:color w:val="auto"/>
                <w:sz w:val="24"/>
                <w:szCs w:val="24"/>
              </w:rPr>
              <w:t>印花、涂层、复合</w:t>
            </w:r>
            <w:r>
              <w:rPr>
                <w:rFonts w:hint="default"/>
                <w:color w:val="auto"/>
                <w:sz w:val="24"/>
                <w:szCs w:val="24"/>
              </w:rPr>
              <w:t>等工序中产生的挥发性溶剂可采用活性炭吸附处理。因此本项目选用活性炭吸附处理挥发性有机物废气是可行技术方案</w:t>
            </w:r>
            <w:r>
              <w:rPr>
                <w:rFonts w:hint="eastAsia"/>
                <w:color w:val="auto"/>
                <w:sz w:val="24"/>
                <w:szCs w:val="24"/>
              </w:rPr>
              <w:t>。</w:t>
            </w:r>
          </w:p>
          <w:p w14:paraId="52511ABE">
            <w:pPr>
              <w:pStyle w:val="42"/>
              <w:spacing w:line="360" w:lineRule="auto"/>
              <w:ind w:firstLine="480" w:firstLineChars="200"/>
              <w:jc w:val="both"/>
              <w:rPr>
                <w:rFonts w:hint="eastAsia"/>
                <w:color w:val="auto"/>
                <w:sz w:val="24"/>
                <w:szCs w:val="24"/>
              </w:rPr>
            </w:pPr>
            <w:r>
              <w:rPr>
                <w:rFonts w:hint="eastAsia"/>
                <w:color w:val="auto"/>
                <w:sz w:val="24"/>
                <w:szCs w:val="24"/>
              </w:rPr>
              <w:t>根据上表，本项目设置的活性炭装置满足《省生态环境厅关于深入开展涉VOCs治理重点工作核查的通知》苏环办[2022]218号文和《吸附法工业有机废气治理工程技术规范》（HJ2026-2013）中采用蜂窝碳的参数要求。</w:t>
            </w:r>
          </w:p>
          <w:p w14:paraId="3BD586DD">
            <w:pPr>
              <w:adjustRightInd w:val="0"/>
              <w:snapToGrid w:val="0"/>
              <w:ind w:firstLine="480" w:firstLineChars="200"/>
              <w:rPr>
                <w:bCs/>
                <w:color w:val="auto"/>
                <w:sz w:val="24"/>
                <w:szCs w:val="24"/>
              </w:rPr>
            </w:pPr>
            <w:r>
              <w:rPr>
                <w:bCs/>
                <w:color w:val="auto"/>
                <w:sz w:val="24"/>
                <w:szCs w:val="24"/>
              </w:rPr>
              <w:fldChar w:fldCharType="begin"/>
            </w:r>
            <w:r>
              <w:rPr>
                <w:bCs/>
                <w:color w:val="auto"/>
                <w:sz w:val="24"/>
                <w:szCs w:val="24"/>
              </w:rPr>
              <w:instrText xml:space="preserve">= 3 \* GB3</w:instrText>
            </w:r>
            <w:r>
              <w:rPr>
                <w:bCs/>
                <w:color w:val="auto"/>
                <w:sz w:val="24"/>
                <w:szCs w:val="24"/>
              </w:rPr>
              <w:fldChar w:fldCharType="separate"/>
            </w:r>
            <w:r>
              <w:rPr>
                <w:bCs/>
                <w:color w:val="auto"/>
                <w:sz w:val="24"/>
                <w:szCs w:val="24"/>
              </w:rPr>
              <w:t>③</w:t>
            </w:r>
            <w:r>
              <w:rPr>
                <w:bCs/>
                <w:color w:val="auto"/>
                <w:sz w:val="24"/>
                <w:szCs w:val="24"/>
              </w:rPr>
              <w:fldChar w:fldCharType="end"/>
            </w:r>
            <w:r>
              <w:rPr>
                <w:bCs/>
                <w:color w:val="auto"/>
                <w:sz w:val="24"/>
                <w:szCs w:val="24"/>
              </w:rPr>
              <w:t>废气捕集率论证</w:t>
            </w:r>
          </w:p>
          <w:p w14:paraId="09A3ADC5">
            <w:pPr>
              <w:adjustRightInd w:val="0"/>
              <w:snapToGrid w:val="0"/>
              <w:ind w:firstLine="480" w:firstLineChars="200"/>
              <w:rPr>
                <w:color w:val="auto"/>
                <w:sz w:val="24"/>
                <w:szCs w:val="24"/>
              </w:rPr>
            </w:pPr>
            <w:r>
              <w:rPr>
                <w:color w:val="auto"/>
                <w:sz w:val="24"/>
                <w:szCs w:val="24"/>
              </w:rPr>
              <w:t>建设单位对本项目数码印花及烘干工序</w:t>
            </w:r>
            <w:r>
              <w:rPr>
                <w:rFonts w:hint="eastAsia"/>
                <w:color w:val="auto"/>
                <w:sz w:val="24"/>
                <w:szCs w:val="24"/>
              </w:rPr>
              <w:t>、</w:t>
            </w:r>
            <w:r>
              <w:rPr>
                <w:color w:val="auto"/>
                <w:sz w:val="24"/>
                <w:szCs w:val="24"/>
              </w:rPr>
              <w:t>热转移印花工序产生的废气进行处理，通过上部集气罩对废气进行收集，集气罩集气效率的高低取决于吸风罩口敞开面周长及吸风罩吸风在污染物发生点产生的控制风速。参考《废气处理工程技术手册》（王纯、张殿印主编，化学工业出版社，2013版），集气罩排风量计算公式：</w:t>
            </w:r>
          </w:p>
          <w:p w14:paraId="674E1E1B">
            <w:pPr>
              <w:adjustRightInd w:val="0"/>
              <w:snapToGrid w:val="0"/>
              <w:ind w:firstLine="480" w:firstLineChars="200"/>
              <w:rPr>
                <w:color w:val="auto"/>
                <w:sz w:val="24"/>
                <w:szCs w:val="24"/>
              </w:rPr>
            </w:pPr>
            <w:r>
              <w:rPr>
                <w:color w:val="auto"/>
                <w:sz w:val="24"/>
                <w:szCs w:val="24"/>
              </w:rPr>
              <w:t>集气罩排风量计算公式：</w:t>
            </w:r>
          </w:p>
          <w:p w14:paraId="3AE5CCD9">
            <w:pPr>
              <w:adjustRightInd w:val="0"/>
              <w:snapToGrid w:val="0"/>
              <w:jc w:val="center"/>
              <w:rPr>
                <w:color w:val="auto"/>
                <w:sz w:val="24"/>
                <w:szCs w:val="24"/>
              </w:rPr>
            </w:pPr>
            <w:r>
              <w:rPr>
                <w:color w:val="auto"/>
                <w:sz w:val="24"/>
                <w:szCs w:val="24"/>
              </w:rPr>
              <w:t>Q=1.4×K×H×vx</w:t>
            </w:r>
          </w:p>
          <w:p w14:paraId="1CF06EE9">
            <w:pPr>
              <w:adjustRightInd w:val="0"/>
              <w:snapToGrid w:val="0"/>
              <w:ind w:firstLine="480" w:firstLineChars="200"/>
              <w:rPr>
                <w:color w:val="auto"/>
                <w:sz w:val="24"/>
                <w:szCs w:val="24"/>
              </w:rPr>
            </w:pPr>
            <w:r>
              <w:rPr>
                <w:color w:val="auto"/>
                <w:sz w:val="24"/>
                <w:szCs w:val="24"/>
              </w:rPr>
              <w:t>其中：K——罩口敞开面周长；</w:t>
            </w:r>
          </w:p>
          <w:p w14:paraId="4EDB9E76">
            <w:pPr>
              <w:adjustRightInd w:val="0"/>
              <w:snapToGrid w:val="0"/>
              <w:ind w:firstLine="1200" w:firstLineChars="500"/>
              <w:rPr>
                <w:color w:val="auto"/>
                <w:sz w:val="24"/>
                <w:szCs w:val="24"/>
              </w:rPr>
            </w:pPr>
            <w:r>
              <w:rPr>
                <w:color w:val="auto"/>
                <w:sz w:val="24"/>
                <w:szCs w:val="24"/>
              </w:rPr>
              <w:t>H——罩口距污染源的距离；</w:t>
            </w:r>
          </w:p>
          <w:p w14:paraId="5A5AE916">
            <w:pPr>
              <w:adjustRightInd w:val="0"/>
              <w:snapToGrid w:val="0"/>
              <w:ind w:firstLine="1200" w:firstLineChars="500"/>
              <w:rPr>
                <w:color w:val="auto"/>
                <w:sz w:val="24"/>
                <w:szCs w:val="24"/>
              </w:rPr>
            </w:pPr>
            <w:r>
              <w:rPr>
                <w:color w:val="auto"/>
                <w:sz w:val="24"/>
                <w:szCs w:val="24"/>
              </w:rPr>
              <w:t>vx——控制风速，是保证污染物能被全部吸入罩内时控制点上必须具有的吸入速度。</w:t>
            </w:r>
          </w:p>
          <w:p w14:paraId="6CACD11F">
            <w:pPr>
              <w:adjustRightInd w:val="0"/>
              <w:snapToGrid w:val="0"/>
              <w:ind w:firstLine="480" w:firstLineChars="200"/>
              <w:rPr>
                <w:color w:val="auto"/>
                <w:sz w:val="24"/>
                <w:szCs w:val="24"/>
              </w:rPr>
            </w:pPr>
            <w:r>
              <w:rPr>
                <w:color w:val="auto"/>
                <w:sz w:val="24"/>
                <w:szCs w:val="24"/>
              </w:rPr>
              <w:t>本项目数码印花及烘干工序</w:t>
            </w:r>
            <w:r>
              <w:rPr>
                <w:rFonts w:hint="eastAsia"/>
                <w:color w:val="auto"/>
                <w:sz w:val="24"/>
                <w:szCs w:val="24"/>
              </w:rPr>
              <w:t>、</w:t>
            </w:r>
            <w:r>
              <w:rPr>
                <w:color w:val="auto"/>
                <w:sz w:val="24"/>
                <w:szCs w:val="24"/>
              </w:rPr>
              <w:t>热转移印花工序通过采用上部吸风罩可以有效对废气进行收集，上部吸风罩集气效率的高低取决于吸风罩口敞开面积、罩口距污染源的距离及吸风罩吸风在污染物发生点产生的控制风速。</w:t>
            </w:r>
          </w:p>
          <w:p w14:paraId="3CDF9430">
            <w:pPr>
              <w:adjustRightInd w:val="0"/>
              <w:snapToGrid w:val="0"/>
              <w:ind w:firstLine="480" w:firstLineChars="200"/>
              <w:rPr>
                <w:color w:val="auto"/>
                <w:sz w:val="24"/>
                <w:szCs w:val="24"/>
              </w:rPr>
            </w:pPr>
            <w:r>
              <w:rPr>
                <w:color w:val="auto"/>
                <w:sz w:val="24"/>
                <w:szCs w:val="24"/>
              </w:rPr>
              <w:t>本项目拟使用的集气罩距离产污点约0</w:t>
            </w:r>
            <w:r>
              <w:rPr>
                <w:rFonts w:hint="eastAsia"/>
                <w:color w:val="auto"/>
                <w:sz w:val="24"/>
                <w:szCs w:val="24"/>
              </w:rPr>
              <w:t>.2</w:t>
            </w:r>
            <w:r>
              <w:rPr>
                <w:color w:val="auto"/>
                <w:sz w:val="24"/>
                <w:szCs w:val="24"/>
              </w:rPr>
              <w:t>m，集气罩口敞开面周长</w:t>
            </w:r>
            <w:r>
              <w:rPr>
                <w:rFonts w:hint="eastAsia"/>
                <w:color w:val="auto"/>
                <w:sz w:val="24"/>
                <w:szCs w:val="24"/>
              </w:rPr>
              <w:t>5</w:t>
            </w:r>
            <w:r>
              <w:rPr>
                <w:color w:val="auto"/>
                <w:sz w:val="24"/>
                <w:szCs w:val="24"/>
              </w:rPr>
              <w:t>m。根据《2020年挥发性有机物治理攻坚方案》中“对于采用局部集气罩的，应根据废气排放特点合理选择收集点位，距集气罩开口面最远处的VOCs无组织排放位置，控制风速不低于0.3米/秒”，故本项目控制风速取0.3m/s。</w:t>
            </w:r>
          </w:p>
          <w:p w14:paraId="6844CE13">
            <w:pPr>
              <w:adjustRightInd w:val="0"/>
              <w:snapToGrid w:val="0"/>
              <w:ind w:firstLine="480" w:firstLineChars="200"/>
              <w:rPr>
                <w:rFonts w:hint="eastAsia"/>
                <w:color w:val="auto"/>
                <w:sz w:val="24"/>
                <w:szCs w:val="24"/>
              </w:rPr>
            </w:pPr>
            <w:r>
              <w:rPr>
                <w:rFonts w:hint="eastAsia"/>
                <w:color w:val="auto"/>
                <w:sz w:val="24"/>
                <w:szCs w:val="24"/>
              </w:rPr>
              <w:t>本项目</w:t>
            </w:r>
            <w:r>
              <w:rPr>
                <w:color w:val="auto"/>
                <w:sz w:val="24"/>
                <w:szCs w:val="24"/>
              </w:rPr>
              <w:t>热转移印花机</w:t>
            </w:r>
            <w:r>
              <w:rPr>
                <w:rFonts w:hint="eastAsia"/>
                <w:color w:val="auto"/>
                <w:sz w:val="24"/>
                <w:szCs w:val="24"/>
              </w:rPr>
              <w:t>2台、</w:t>
            </w:r>
            <w:r>
              <w:rPr>
                <w:color w:val="auto"/>
                <w:sz w:val="24"/>
                <w:szCs w:val="24"/>
              </w:rPr>
              <w:t>数码打印机</w:t>
            </w:r>
            <w:r>
              <w:rPr>
                <w:rFonts w:hint="eastAsia"/>
                <w:color w:val="auto"/>
                <w:sz w:val="24"/>
                <w:szCs w:val="24"/>
              </w:rPr>
              <w:t>4台，即需要6个集气罩，则共需要风量9072m</w:t>
            </w:r>
            <w:r>
              <w:rPr>
                <w:rFonts w:hint="eastAsia"/>
                <w:color w:val="auto"/>
                <w:sz w:val="24"/>
                <w:szCs w:val="24"/>
                <w:vertAlign w:val="superscript"/>
              </w:rPr>
              <w:t>3</w:t>
            </w:r>
            <w:r>
              <w:rPr>
                <w:rFonts w:hint="eastAsia"/>
                <w:color w:val="auto"/>
                <w:sz w:val="24"/>
                <w:szCs w:val="24"/>
              </w:rPr>
              <w:t>/h。考虑到风损等因素，风机风量为10000m</w:t>
            </w:r>
            <w:r>
              <w:rPr>
                <w:rFonts w:hint="eastAsia"/>
                <w:color w:val="auto"/>
                <w:sz w:val="24"/>
                <w:szCs w:val="24"/>
                <w:vertAlign w:val="superscript"/>
              </w:rPr>
              <w:t>3</w:t>
            </w:r>
            <w:r>
              <w:rPr>
                <w:rFonts w:hint="eastAsia"/>
                <w:color w:val="auto"/>
                <w:sz w:val="24"/>
                <w:szCs w:val="24"/>
              </w:rPr>
              <w:t>/h，可满足风量需求。</w:t>
            </w:r>
          </w:p>
          <w:p w14:paraId="32A2AA89">
            <w:pPr>
              <w:adjustRightInd w:val="0"/>
              <w:snapToGrid w:val="0"/>
              <w:ind w:firstLine="420" w:firstLineChars="200"/>
              <w:jc w:val="center"/>
              <w:rPr>
                <w:color w:val="auto"/>
                <w:sz w:val="24"/>
                <w:szCs w:val="24"/>
              </w:rPr>
            </w:pPr>
            <w:r>
              <w:rPr>
                <w:color w:val="auto"/>
              </w:rPr>
              <w:drawing>
                <wp:inline distT="0" distB="0" distL="0" distR="0">
                  <wp:extent cx="2493645" cy="2458085"/>
                  <wp:effectExtent l="0" t="0" r="1905" b="18415"/>
                  <wp:docPr id="477653334" name="图片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653334" name="图片 2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493645" cy="2458085"/>
                          </a:xfrm>
                          <a:prstGeom prst="rect">
                            <a:avLst/>
                          </a:prstGeom>
                          <a:noFill/>
                          <a:ln>
                            <a:noFill/>
                          </a:ln>
                        </pic:spPr>
                      </pic:pic>
                    </a:graphicData>
                  </a:graphic>
                </wp:inline>
              </w:drawing>
            </w:r>
          </w:p>
          <w:p w14:paraId="2575185F">
            <w:pPr>
              <w:jc w:val="center"/>
              <w:rPr>
                <w:b/>
                <w:bCs/>
                <w:color w:val="auto"/>
                <w:sz w:val="24"/>
                <w:szCs w:val="24"/>
              </w:rPr>
            </w:pPr>
            <w:r>
              <w:rPr>
                <w:rFonts w:hint="eastAsia"/>
                <w:b/>
                <w:bCs/>
                <w:color w:val="auto"/>
                <w:sz w:val="24"/>
                <w:szCs w:val="24"/>
              </w:rPr>
              <w:t>图4-</w:t>
            </w:r>
            <w:r>
              <w:rPr>
                <w:rFonts w:hint="eastAsia"/>
                <w:b/>
                <w:bCs/>
                <w:color w:val="auto"/>
                <w:sz w:val="24"/>
                <w:szCs w:val="24"/>
                <w:lang w:val="en-US" w:eastAsia="zh-CN"/>
              </w:rPr>
              <w:t>3</w:t>
            </w:r>
            <w:r>
              <w:rPr>
                <w:rFonts w:hint="eastAsia"/>
                <w:b/>
                <w:bCs/>
                <w:color w:val="auto"/>
                <w:sz w:val="24"/>
                <w:szCs w:val="24"/>
              </w:rPr>
              <w:t xml:space="preserve">  废气收集示意图</w:t>
            </w:r>
          </w:p>
          <w:p w14:paraId="38F623A7">
            <w:pPr>
              <w:adjustRightInd w:val="0"/>
              <w:snapToGrid w:val="0"/>
              <w:rPr>
                <w:b/>
                <w:bCs/>
                <w:color w:val="auto"/>
                <w:sz w:val="24"/>
                <w:szCs w:val="24"/>
              </w:rPr>
            </w:pPr>
            <w:r>
              <w:rPr>
                <w:b/>
                <w:bCs/>
                <w:color w:val="auto"/>
                <w:sz w:val="24"/>
                <w:szCs w:val="24"/>
              </w:rPr>
              <w:t>1.7</w:t>
            </w:r>
            <w:r>
              <w:rPr>
                <w:rFonts w:hint="eastAsia"/>
                <w:b/>
                <w:bCs/>
                <w:color w:val="auto"/>
                <w:sz w:val="24"/>
                <w:szCs w:val="24"/>
              </w:rPr>
              <w:t>大气环境影响</w:t>
            </w:r>
          </w:p>
          <w:p w14:paraId="55C298DB">
            <w:pPr>
              <w:adjustRightInd w:val="0"/>
              <w:snapToGrid w:val="0"/>
              <w:ind w:firstLine="480" w:firstLineChars="200"/>
              <w:rPr>
                <w:color w:val="auto"/>
                <w:sz w:val="24"/>
                <w:szCs w:val="24"/>
              </w:rPr>
            </w:pPr>
            <w:r>
              <w:rPr>
                <w:rFonts w:hint="eastAsia"/>
                <w:color w:val="auto"/>
                <w:sz w:val="24"/>
                <w:szCs w:val="24"/>
              </w:rPr>
              <w:t>经污染治理措施处理后，各污染物排放浓度、速率均满足相应标准。本项目各废气污染物达标排放，对周围大气环境影响较小，环境影响可接受。</w:t>
            </w:r>
          </w:p>
          <w:p w14:paraId="256EE593">
            <w:pPr>
              <w:pStyle w:val="4"/>
              <w:adjustRightInd w:val="0"/>
              <w:spacing w:before="0" w:after="0" w:line="360" w:lineRule="auto"/>
              <w:rPr>
                <w:rFonts w:eastAsia="宋体"/>
                <w:color w:val="auto"/>
                <w:sz w:val="24"/>
                <w:szCs w:val="24"/>
              </w:rPr>
            </w:pPr>
            <w:r>
              <w:rPr>
                <w:rFonts w:eastAsia="宋体"/>
                <w:color w:val="auto"/>
                <w:sz w:val="24"/>
                <w:szCs w:val="24"/>
              </w:rPr>
              <w:t>2、废水</w:t>
            </w:r>
          </w:p>
          <w:p w14:paraId="2A69EDFA">
            <w:pPr>
              <w:pStyle w:val="13"/>
              <w:adjustRightInd w:val="0"/>
              <w:snapToGrid w:val="0"/>
              <w:ind w:left="0" w:leftChars="0" w:right="0" w:rightChars="0"/>
              <w:rPr>
                <w:b/>
                <w:bCs/>
                <w:color w:val="auto"/>
                <w:sz w:val="24"/>
                <w:szCs w:val="24"/>
              </w:rPr>
            </w:pPr>
            <w:r>
              <w:rPr>
                <w:b/>
                <w:bCs/>
                <w:color w:val="auto"/>
                <w:sz w:val="24"/>
                <w:szCs w:val="24"/>
              </w:rPr>
              <w:t>2.1废水产排污情况</w:t>
            </w:r>
          </w:p>
          <w:p w14:paraId="3CDB64CA">
            <w:pPr>
              <w:pStyle w:val="43"/>
              <w:adjustRightInd w:val="0"/>
              <w:spacing w:line="360" w:lineRule="auto"/>
              <w:ind w:firstLine="480" w:firstLineChars="200"/>
              <w:jc w:val="both"/>
              <w:rPr>
                <w:color w:val="auto"/>
                <w:sz w:val="24"/>
                <w:szCs w:val="24"/>
              </w:rPr>
            </w:pPr>
            <w:r>
              <w:rPr>
                <w:bCs w:val="0"/>
                <w:color w:val="auto"/>
                <w:sz w:val="24"/>
                <w:szCs w:val="24"/>
              </w:rPr>
              <w:t>本项目废水主要为生活污水，产生量为</w:t>
            </w:r>
            <w:r>
              <w:rPr>
                <w:rFonts w:hint="eastAsia"/>
                <w:bCs w:val="0"/>
                <w:color w:val="auto"/>
                <w:sz w:val="24"/>
                <w:szCs w:val="24"/>
              </w:rPr>
              <w:t>120</w:t>
            </w:r>
            <w:r>
              <w:rPr>
                <w:bCs w:val="0"/>
                <w:color w:val="auto"/>
                <w:sz w:val="24"/>
                <w:szCs w:val="24"/>
              </w:rPr>
              <w:t>t/a，本项目废水产生情况详见表4-</w:t>
            </w:r>
            <w:r>
              <w:rPr>
                <w:rFonts w:hint="eastAsia"/>
                <w:bCs w:val="0"/>
                <w:color w:val="auto"/>
                <w:sz w:val="24"/>
                <w:szCs w:val="24"/>
                <w:lang w:val="en-US" w:eastAsia="zh-CN"/>
              </w:rPr>
              <w:t>10</w:t>
            </w:r>
            <w:r>
              <w:rPr>
                <w:bCs w:val="0"/>
                <w:color w:val="auto"/>
                <w:sz w:val="24"/>
                <w:szCs w:val="24"/>
              </w:rPr>
              <w:t>。</w:t>
            </w:r>
          </w:p>
          <w:p w14:paraId="47B67279">
            <w:pPr>
              <w:jc w:val="center"/>
              <w:rPr>
                <w:b/>
                <w:bCs/>
                <w:color w:val="auto"/>
                <w:sz w:val="24"/>
              </w:rPr>
            </w:pPr>
            <w:r>
              <w:rPr>
                <w:rFonts w:ascii="宋体" w:hAnsi="宋体"/>
                <w:b/>
                <w:bCs/>
                <w:color w:val="auto"/>
                <w:sz w:val="24"/>
              </w:rPr>
              <w:t>表</w:t>
            </w:r>
            <w:r>
              <w:rPr>
                <w:b/>
                <w:bCs/>
                <w:color w:val="auto"/>
                <w:sz w:val="24"/>
              </w:rPr>
              <w:t>4-</w:t>
            </w:r>
            <w:r>
              <w:rPr>
                <w:rFonts w:hint="eastAsia"/>
                <w:b/>
                <w:bCs/>
                <w:color w:val="auto"/>
                <w:sz w:val="24"/>
                <w:lang w:val="en-US" w:eastAsia="zh-CN"/>
              </w:rPr>
              <w:t>10</w:t>
            </w:r>
            <w:r>
              <w:rPr>
                <w:b/>
                <w:bCs/>
                <w:color w:val="auto"/>
                <w:sz w:val="24"/>
              </w:rPr>
              <w:t xml:space="preserve">   </w:t>
            </w:r>
            <w:r>
              <w:rPr>
                <w:rFonts w:ascii="宋体" w:hAnsi="宋体"/>
                <w:b/>
                <w:bCs/>
                <w:color w:val="auto"/>
                <w:sz w:val="24"/>
              </w:rPr>
              <w:t>废水污染源源强核算结果及相关参数一览表</w:t>
            </w:r>
          </w:p>
          <w:tbl>
            <w:tblPr>
              <w:tblStyle w:val="26"/>
              <w:tblW w:w="805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254"/>
              <w:gridCol w:w="235"/>
              <w:gridCol w:w="403"/>
              <w:gridCol w:w="255"/>
              <w:gridCol w:w="630"/>
              <w:gridCol w:w="725"/>
              <w:gridCol w:w="562"/>
              <w:gridCol w:w="328"/>
              <w:gridCol w:w="408"/>
              <w:gridCol w:w="240"/>
              <w:gridCol w:w="574"/>
              <w:gridCol w:w="713"/>
              <w:gridCol w:w="575"/>
              <w:gridCol w:w="700"/>
              <w:gridCol w:w="400"/>
              <w:gridCol w:w="1054"/>
            </w:tblGrid>
            <w:tr w14:paraId="16AE2E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254" w:type="dxa"/>
                  <w:vMerge w:val="restart"/>
                  <w:vAlign w:val="center"/>
                </w:tcPr>
                <w:p w14:paraId="3D5264AC">
                  <w:pPr>
                    <w:pStyle w:val="41"/>
                    <w:adjustRightInd w:val="0"/>
                    <w:rPr>
                      <w:color w:val="auto"/>
                      <w:spacing w:val="-20"/>
                    </w:rPr>
                  </w:pPr>
                  <w:r>
                    <w:rPr>
                      <w:color w:val="auto"/>
                      <w:spacing w:val="-20"/>
                    </w:rPr>
                    <w:t>工序/生产线</w:t>
                  </w:r>
                </w:p>
              </w:tc>
              <w:tc>
                <w:tcPr>
                  <w:tcW w:w="235" w:type="dxa"/>
                  <w:vMerge w:val="restart"/>
                  <w:vAlign w:val="center"/>
                </w:tcPr>
                <w:p w14:paraId="1CECF6B9">
                  <w:pPr>
                    <w:pStyle w:val="41"/>
                    <w:adjustRightInd w:val="0"/>
                    <w:rPr>
                      <w:color w:val="auto"/>
                      <w:spacing w:val="-20"/>
                    </w:rPr>
                  </w:pPr>
                  <w:r>
                    <w:rPr>
                      <w:color w:val="auto"/>
                      <w:spacing w:val="-20"/>
                    </w:rPr>
                    <w:t>污染源</w:t>
                  </w:r>
                </w:p>
              </w:tc>
              <w:tc>
                <w:tcPr>
                  <w:tcW w:w="403" w:type="dxa"/>
                  <w:vMerge w:val="restart"/>
                  <w:vAlign w:val="center"/>
                </w:tcPr>
                <w:p w14:paraId="49C1E1AF">
                  <w:pPr>
                    <w:pStyle w:val="41"/>
                    <w:adjustRightInd w:val="0"/>
                    <w:rPr>
                      <w:color w:val="auto"/>
                      <w:spacing w:val="-20"/>
                    </w:rPr>
                  </w:pPr>
                  <w:r>
                    <w:rPr>
                      <w:color w:val="auto"/>
                      <w:spacing w:val="-20"/>
                    </w:rPr>
                    <w:t>污染物</w:t>
                  </w:r>
                </w:p>
              </w:tc>
              <w:tc>
                <w:tcPr>
                  <w:tcW w:w="2172" w:type="dxa"/>
                  <w:gridSpan w:val="4"/>
                  <w:vAlign w:val="center"/>
                </w:tcPr>
                <w:p w14:paraId="2DFBE58B">
                  <w:pPr>
                    <w:pStyle w:val="41"/>
                    <w:adjustRightInd w:val="0"/>
                    <w:rPr>
                      <w:color w:val="auto"/>
                      <w:spacing w:val="-20"/>
                    </w:rPr>
                  </w:pPr>
                  <w:r>
                    <w:rPr>
                      <w:color w:val="auto"/>
                      <w:spacing w:val="-20"/>
                    </w:rPr>
                    <w:t>污染物产生</w:t>
                  </w:r>
                </w:p>
              </w:tc>
              <w:tc>
                <w:tcPr>
                  <w:tcW w:w="736" w:type="dxa"/>
                  <w:gridSpan w:val="2"/>
                  <w:vAlign w:val="center"/>
                </w:tcPr>
                <w:p w14:paraId="33A1DFB6">
                  <w:pPr>
                    <w:pStyle w:val="41"/>
                    <w:adjustRightInd w:val="0"/>
                    <w:rPr>
                      <w:color w:val="auto"/>
                      <w:spacing w:val="-20"/>
                    </w:rPr>
                  </w:pPr>
                  <w:r>
                    <w:rPr>
                      <w:color w:val="auto"/>
                      <w:spacing w:val="-20"/>
                    </w:rPr>
                    <w:t>治理措施</w:t>
                  </w:r>
                </w:p>
              </w:tc>
              <w:tc>
                <w:tcPr>
                  <w:tcW w:w="2102" w:type="dxa"/>
                  <w:gridSpan w:val="4"/>
                  <w:vAlign w:val="center"/>
                </w:tcPr>
                <w:p w14:paraId="64101744">
                  <w:pPr>
                    <w:pStyle w:val="41"/>
                    <w:adjustRightInd w:val="0"/>
                    <w:rPr>
                      <w:color w:val="auto"/>
                      <w:spacing w:val="-20"/>
                    </w:rPr>
                  </w:pPr>
                  <w:r>
                    <w:rPr>
                      <w:color w:val="auto"/>
                      <w:spacing w:val="-20"/>
                    </w:rPr>
                    <w:t>污染物排放</w:t>
                  </w:r>
                </w:p>
              </w:tc>
              <w:tc>
                <w:tcPr>
                  <w:tcW w:w="700" w:type="dxa"/>
                  <w:vMerge w:val="restart"/>
                  <w:vAlign w:val="center"/>
                </w:tcPr>
                <w:p w14:paraId="585976D9">
                  <w:pPr>
                    <w:pStyle w:val="41"/>
                    <w:adjustRightInd w:val="0"/>
                    <w:rPr>
                      <w:color w:val="auto"/>
                      <w:spacing w:val="-20"/>
                    </w:rPr>
                  </w:pPr>
                  <w:r>
                    <w:rPr>
                      <w:color w:val="auto"/>
                      <w:spacing w:val="-20"/>
                    </w:rPr>
                    <w:t>标准浓度限值(mg/L)</w:t>
                  </w:r>
                </w:p>
              </w:tc>
              <w:tc>
                <w:tcPr>
                  <w:tcW w:w="400" w:type="dxa"/>
                  <w:vMerge w:val="restart"/>
                  <w:vAlign w:val="center"/>
                </w:tcPr>
                <w:p w14:paraId="7B31594A">
                  <w:pPr>
                    <w:pStyle w:val="41"/>
                    <w:adjustRightInd w:val="0"/>
                    <w:rPr>
                      <w:color w:val="auto"/>
                      <w:spacing w:val="-20"/>
                    </w:rPr>
                  </w:pPr>
                  <w:r>
                    <w:rPr>
                      <w:color w:val="auto"/>
                      <w:spacing w:val="-20"/>
                    </w:rPr>
                    <w:t>排放时间/h</w:t>
                  </w:r>
                </w:p>
              </w:tc>
              <w:tc>
                <w:tcPr>
                  <w:tcW w:w="1054" w:type="dxa"/>
                  <w:vMerge w:val="restart"/>
                  <w:vAlign w:val="center"/>
                </w:tcPr>
                <w:p w14:paraId="2F3B72C1">
                  <w:pPr>
                    <w:pStyle w:val="41"/>
                    <w:adjustRightInd w:val="0"/>
                    <w:rPr>
                      <w:color w:val="auto"/>
                      <w:spacing w:val="-20"/>
                    </w:rPr>
                  </w:pPr>
                  <w:r>
                    <w:rPr>
                      <w:color w:val="auto"/>
                      <w:spacing w:val="-20"/>
                    </w:rPr>
                    <w:t>排放方式和去向</w:t>
                  </w:r>
                </w:p>
              </w:tc>
            </w:tr>
            <w:tr w14:paraId="00E6CD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096" w:hRule="atLeast"/>
                <w:jc w:val="center"/>
              </w:trPr>
              <w:tc>
                <w:tcPr>
                  <w:tcW w:w="254" w:type="dxa"/>
                  <w:vMerge w:val="continue"/>
                  <w:vAlign w:val="center"/>
                </w:tcPr>
                <w:p w14:paraId="332D786B">
                  <w:pPr>
                    <w:widowControl/>
                    <w:adjustRightInd w:val="0"/>
                    <w:snapToGrid w:val="0"/>
                    <w:jc w:val="left"/>
                    <w:rPr>
                      <w:color w:val="auto"/>
                      <w:spacing w:val="-20"/>
                    </w:rPr>
                  </w:pPr>
                </w:p>
              </w:tc>
              <w:tc>
                <w:tcPr>
                  <w:tcW w:w="235" w:type="dxa"/>
                  <w:vMerge w:val="continue"/>
                  <w:vAlign w:val="center"/>
                </w:tcPr>
                <w:p w14:paraId="72716A13">
                  <w:pPr>
                    <w:widowControl/>
                    <w:adjustRightInd w:val="0"/>
                    <w:snapToGrid w:val="0"/>
                    <w:jc w:val="left"/>
                    <w:rPr>
                      <w:color w:val="auto"/>
                      <w:spacing w:val="-20"/>
                    </w:rPr>
                  </w:pPr>
                </w:p>
              </w:tc>
              <w:tc>
                <w:tcPr>
                  <w:tcW w:w="403" w:type="dxa"/>
                  <w:vMerge w:val="continue"/>
                  <w:vAlign w:val="center"/>
                </w:tcPr>
                <w:p w14:paraId="03FF4681">
                  <w:pPr>
                    <w:widowControl/>
                    <w:adjustRightInd w:val="0"/>
                    <w:snapToGrid w:val="0"/>
                    <w:jc w:val="left"/>
                    <w:rPr>
                      <w:color w:val="auto"/>
                      <w:spacing w:val="-20"/>
                    </w:rPr>
                  </w:pPr>
                </w:p>
              </w:tc>
              <w:tc>
                <w:tcPr>
                  <w:tcW w:w="255" w:type="dxa"/>
                  <w:vAlign w:val="center"/>
                </w:tcPr>
                <w:p w14:paraId="7340700B">
                  <w:pPr>
                    <w:pStyle w:val="41"/>
                    <w:adjustRightInd w:val="0"/>
                    <w:rPr>
                      <w:color w:val="auto"/>
                      <w:spacing w:val="-20"/>
                    </w:rPr>
                  </w:pPr>
                  <w:r>
                    <w:rPr>
                      <w:color w:val="auto"/>
                      <w:spacing w:val="-20"/>
                    </w:rPr>
                    <w:t>核算方法</w:t>
                  </w:r>
                </w:p>
              </w:tc>
              <w:tc>
                <w:tcPr>
                  <w:tcW w:w="630" w:type="dxa"/>
                  <w:vAlign w:val="center"/>
                </w:tcPr>
                <w:p w14:paraId="0A174425">
                  <w:pPr>
                    <w:pStyle w:val="41"/>
                    <w:adjustRightInd w:val="0"/>
                    <w:rPr>
                      <w:color w:val="auto"/>
                      <w:spacing w:val="-20"/>
                    </w:rPr>
                  </w:pPr>
                  <w:r>
                    <w:rPr>
                      <w:color w:val="auto"/>
                      <w:spacing w:val="-20"/>
                    </w:rPr>
                    <w:t>产生废水量（m</w:t>
                  </w:r>
                  <w:r>
                    <w:rPr>
                      <w:color w:val="auto"/>
                      <w:spacing w:val="-20"/>
                      <w:vertAlign w:val="superscript"/>
                    </w:rPr>
                    <w:t>3</w:t>
                  </w:r>
                  <w:r>
                    <w:rPr>
                      <w:color w:val="auto"/>
                      <w:spacing w:val="-20"/>
                    </w:rPr>
                    <w:t>/a）</w:t>
                  </w:r>
                </w:p>
              </w:tc>
              <w:tc>
                <w:tcPr>
                  <w:tcW w:w="725" w:type="dxa"/>
                  <w:vAlign w:val="center"/>
                </w:tcPr>
                <w:p w14:paraId="399DF384">
                  <w:pPr>
                    <w:pStyle w:val="41"/>
                    <w:adjustRightInd w:val="0"/>
                    <w:rPr>
                      <w:color w:val="auto"/>
                      <w:spacing w:val="-20"/>
                    </w:rPr>
                  </w:pPr>
                  <w:r>
                    <w:rPr>
                      <w:color w:val="auto"/>
                      <w:spacing w:val="-20"/>
                    </w:rPr>
                    <w:t>产生浓度（mg/L）</w:t>
                  </w:r>
                </w:p>
              </w:tc>
              <w:tc>
                <w:tcPr>
                  <w:tcW w:w="562" w:type="dxa"/>
                  <w:vAlign w:val="center"/>
                </w:tcPr>
                <w:p w14:paraId="7B93F201">
                  <w:pPr>
                    <w:pStyle w:val="41"/>
                    <w:adjustRightInd w:val="0"/>
                    <w:rPr>
                      <w:color w:val="auto"/>
                      <w:spacing w:val="-20"/>
                    </w:rPr>
                  </w:pPr>
                  <w:r>
                    <w:rPr>
                      <w:color w:val="auto"/>
                      <w:spacing w:val="-20"/>
                    </w:rPr>
                    <w:t>产生量/（t/a）</w:t>
                  </w:r>
                </w:p>
              </w:tc>
              <w:tc>
                <w:tcPr>
                  <w:tcW w:w="328" w:type="dxa"/>
                  <w:vAlign w:val="center"/>
                </w:tcPr>
                <w:p w14:paraId="75B81582">
                  <w:pPr>
                    <w:pStyle w:val="41"/>
                    <w:adjustRightInd w:val="0"/>
                    <w:rPr>
                      <w:color w:val="auto"/>
                      <w:spacing w:val="-20"/>
                    </w:rPr>
                  </w:pPr>
                  <w:r>
                    <w:rPr>
                      <w:color w:val="auto"/>
                      <w:spacing w:val="-20"/>
                    </w:rPr>
                    <w:t>工艺</w:t>
                  </w:r>
                </w:p>
              </w:tc>
              <w:tc>
                <w:tcPr>
                  <w:tcW w:w="408" w:type="dxa"/>
                  <w:vAlign w:val="center"/>
                </w:tcPr>
                <w:p w14:paraId="321E13E3">
                  <w:pPr>
                    <w:pStyle w:val="41"/>
                    <w:adjustRightInd w:val="0"/>
                    <w:rPr>
                      <w:color w:val="auto"/>
                      <w:spacing w:val="-20"/>
                    </w:rPr>
                  </w:pPr>
                  <w:r>
                    <w:rPr>
                      <w:color w:val="auto"/>
                      <w:spacing w:val="-20"/>
                    </w:rPr>
                    <w:t>效率%</w:t>
                  </w:r>
                </w:p>
              </w:tc>
              <w:tc>
                <w:tcPr>
                  <w:tcW w:w="240" w:type="dxa"/>
                  <w:vAlign w:val="center"/>
                </w:tcPr>
                <w:p w14:paraId="46EDC873">
                  <w:pPr>
                    <w:pStyle w:val="41"/>
                    <w:adjustRightInd w:val="0"/>
                    <w:rPr>
                      <w:color w:val="auto"/>
                      <w:spacing w:val="-20"/>
                    </w:rPr>
                  </w:pPr>
                  <w:r>
                    <w:rPr>
                      <w:color w:val="auto"/>
                      <w:spacing w:val="-20"/>
                    </w:rPr>
                    <w:t>核算方法</w:t>
                  </w:r>
                </w:p>
              </w:tc>
              <w:tc>
                <w:tcPr>
                  <w:tcW w:w="574" w:type="dxa"/>
                  <w:vAlign w:val="center"/>
                </w:tcPr>
                <w:p w14:paraId="2B2FCD94">
                  <w:pPr>
                    <w:pStyle w:val="41"/>
                    <w:adjustRightInd w:val="0"/>
                    <w:rPr>
                      <w:color w:val="auto"/>
                      <w:spacing w:val="-20"/>
                    </w:rPr>
                  </w:pPr>
                  <w:r>
                    <w:rPr>
                      <w:color w:val="auto"/>
                      <w:spacing w:val="-20"/>
                    </w:rPr>
                    <w:t>排放废水量（m</w:t>
                  </w:r>
                  <w:r>
                    <w:rPr>
                      <w:color w:val="auto"/>
                      <w:spacing w:val="-20"/>
                      <w:vertAlign w:val="superscript"/>
                    </w:rPr>
                    <w:t>3</w:t>
                  </w:r>
                  <w:r>
                    <w:rPr>
                      <w:color w:val="auto"/>
                      <w:spacing w:val="-20"/>
                    </w:rPr>
                    <w:t>/a）</w:t>
                  </w:r>
                </w:p>
              </w:tc>
              <w:tc>
                <w:tcPr>
                  <w:tcW w:w="713" w:type="dxa"/>
                  <w:vAlign w:val="center"/>
                </w:tcPr>
                <w:p w14:paraId="63EE6C86">
                  <w:pPr>
                    <w:pStyle w:val="41"/>
                    <w:adjustRightInd w:val="0"/>
                    <w:rPr>
                      <w:color w:val="auto"/>
                      <w:spacing w:val="-20"/>
                    </w:rPr>
                  </w:pPr>
                  <w:r>
                    <w:rPr>
                      <w:color w:val="auto"/>
                      <w:spacing w:val="-20"/>
                    </w:rPr>
                    <w:t>排放浓度（mg/L）</w:t>
                  </w:r>
                </w:p>
              </w:tc>
              <w:tc>
                <w:tcPr>
                  <w:tcW w:w="575" w:type="dxa"/>
                  <w:vAlign w:val="center"/>
                </w:tcPr>
                <w:p w14:paraId="4CC62EA4">
                  <w:pPr>
                    <w:pStyle w:val="41"/>
                    <w:adjustRightInd w:val="0"/>
                    <w:rPr>
                      <w:color w:val="auto"/>
                      <w:spacing w:val="-20"/>
                    </w:rPr>
                  </w:pPr>
                  <w:r>
                    <w:rPr>
                      <w:color w:val="auto"/>
                      <w:spacing w:val="-20"/>
                    </w:rPr>
                    <w:t>排放量（t/a）</w:t>
                  </w:r>
                </w:p>
              </w:tc>
              <w:tc>
                <w:tcPr>
                  <w:tcW w:w="700" w:type="dxa"/>
                  <w:vMerge w:val="continue"/>
                  <w:vAlign w:val="center"/>
                </w:tcPr>
                <w:p w14:paraId="69F81AE0">
                  <w:pPr>
                    <w:widowControl/>
                    <w:adjustRightInd w:val="0"/>
                    <w:snapToGrid w:val="0"/>
                    <w:jc w:val="left"/>
                    <w:rPr>
                      <w:color w:val="auto"/>
                      <w:spacing w:val="-20"/>
                    </w:rPr>
                  </w:pPr>
                </w:p>
              </w:tc>
              <w:tc>
                <w:tcPr>
                  <w:tcW w:w="400" w:type="dxa"/>
                  <w:vMerge w:val="continue"/>
                  <w:vAlign w:val="center"/>
                </w:tcPr>
                <w:p w14:paraId="6E2BE049">
                  <w:pPr>
                    <w:widowControl/>
                    <w:adjustRightInd w:val="0"/>
                    <w:snapToGrid w:val="0"/>
                    <w:jc w:val="left"/>
                    <w:rPr>
                      <w:color w:val="auto"/>
                      <w:spacing w:val="-20"/>
                    </w:rPr>
                  </w:pPr>
                </w:p>
              </w:tc>
              <w:tc>
                <w:tcPr>
                  <w:tcW w:w="1054" w:type="dxa"/>
                  <w:vMerge w:val="continue"/>
                  <w:vAlign w:val="center"/>
                </w:tcPr>
                <w:p w14:paraId="2448335A">
                  <w:pPr>
                    <w:widowControl/>
                    <w:adjustRightInd w:val="0"/>
                    <w:snapToGrid w:val="0"/>
                    <w:jc w:val="left"/>
                    <w:rPr>
                      <w:color w:val="auto"/>
                      <w:spacing w:val="-20"/>
                    </w:rPr>
                  </w:pPr>
                </w:p>
              </w:tc>
            </w:tr>
            <w:tr w14:paraId="2D50E9E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91" w:hRule="atLeast"/>
                <w:jc w:val="center"/>
              </w:trPr>
              <w:tc>
                <w:tcPr>
                  <w:tcW w:w="254" w:type="dxa"/>
                  <w:vMerge w:val="restart"/>
                  <w:vAlign w:val="center"/>
                </w:tcPr>
                <w:p w14:paraId="316C3DDC">
                  <w:pPr>
                    <w:pStyle w:val="41"/>
                    <w:adjustRightInd w:val="0"/>
                    <w:rPr>
                      <w:color w:val="auto"/>
                      <w:spacing w:val="-20"/>
                    </w:rPr>
                  </w:pPr>
                  <w:r>
                    <w:rPr>
                      <w:color w:val="auto"/>
                      <w:spacing w:val="-20"/>
                    </w:rPr>
                    <w:t>生活活动</w:t>
                  </w:r>
                </w:p>
              </w:tc>
              <w:tc>
                <w:tcPr>
                  <w:tcW w:w="235" w:type="dxa"/>
                  <w:vMerge w:val="restart"/>
                  <w:vAlign w:val="center"/>
                </w:tcPr>
                <w:p w14:paraId="208DF1A0">
                  <w:pPr>
                    <w:pStyle w:val="41"/>
                    <w:adjustRightInd w:val="0"/>
                    <w:rPr>
                      <w:color w:val="auto"/>
                      <w:spacing w:val="-20"/>
                    </w:rPr>
                  </w:pPr>
                  <w:r>
                    <w:rPr>
                      <w:color w:val="auto"/>
                      <w:spacing w:val="-20"/>
                    </w:rPr>
                    <w:t>生活污水</w:t>
                  </w:r>
                </w:p>
              </w:tc>
              <w:tc>
                <w:tcPr>
                  <w:tcW w:w="403" w:type="dxa"/>
                  <w:vAlign w:val="center"/>
                </w:tcPr>
                <w:p w14:paraId="007B37CC">
                  <w:pPr>
                    <w:pStyle w:val="41"/>
                    <w:adjustRightInd w:val="0"/>
                    <w:rPr>
                      <w:color w:val="auto"/>
                      <w:spacing w:val="-20"/>
                    </w:rPr>
                  </w:pPr>
                  <w:r>
                    <w:rPr>
                      <w:color w:val="auto"/>
                    </w:rPr>
                    <w:t>pH</w:t>
                  </w:r>
                </w:p>
              </w:tc>
              <w:tc>
                <w:tcPr>
                  <w:tcW w:w="255" w:type="dxa"/>
                  <w:vMerge w:val="restart"/>
                  <w:vAlign w:val="center"/>
                </w:tcPr>
                <w:p w14:paraId="12182C78">
                  <w:pPr>
                    <w:pStyle w:val="41"/>
                    <w:adjustRightInd w:val="0"/>
                    <w:rPr>
                      <w:color w:val="auto"/>
                      <w:spacing w:val="-20"/>
                    </w:rPr>
                  </w:pPr>
                  <w:r>
                    <w:rPr>
                      <w:color w:val="auto"/>
                      <w:spacing w:val="-20"/>
                    </w:rPr>
                    <w:t>产污系数法</w:t>
                  </w:r>
                </w:p>
              </w:tc>
              <w:tc>
                <w:tcPr>
                  <w:tcW w:w="630" w:type="dxa"/>
                  <w:vMerge w:val="restart"/>
                  <w:vAlign w:val="center"/>
                </w:tcPr>
                <w:p w14:paraId="446EBEE4">
                  <w:pPr>
                    <w:pStyle w:val="41"/>
                    <w:adjustRightInd w:val="0"/>
                    <w:rPr>
                      <w:color w:val="auto"/>
                      <w:spacing w:val="-20"/>
                    </w:rPr>
                  </w:pPr>
                  <w:r>
                    <w:rPr>
                      <w:color w:val="auto"/>
                      <w:spacing w:val="-20"/>
                    </w:rPr>
                    <w:t>120</w:t>
                  </w:r>
                </w:p>
              </w:tc>
              <w:tc>
                <w:tcPr>
                  <w:tcW w:w="725" w:type="dxa"/>
                  <w:vAlign w:val="center"/>
                </w:tcPr>
                <w:p w14:paraId="679DFC81">
                  <w:pPr>
                    <w:pStyle w:val="41"/>
                    <w:adjustRightInd w:val="0"/>
                    <w:rPr>
                      <w:color w:val="auto"/>
                      <w:spacing w:val="-20"/>
                    </w:rPr>
                  </w:pPr>
                  <w:r>
                    <w:rPr>
                      <w:color w:val="auto"/>
                    </w:rPr>
                    <w:t>6-9</w:t>
                  </w:r>
                </w:p>
              </w:tc>
              <w:tc>
                <w:tcPr>
                  <w:tcW w:w="562" w:type="dxa"/>
                  <w:vAlign w:val="center"/>
                </w:tcPr>
                <w:p w14:paraId="32ECCC3D">
                  <w:pPr>
                    <w:pStyle w:val="42"/>
                    <w:adjustRightInd w:val="0"/>
                    <w:rPr>
                      <w:color w:val="auto"/>
                    </w:rPr>
                  </w:pPr>
                  <w:r>
                    <w:rPr>
                      <w:color w:val="auto"/>
                    </w:rPr>
                    <w:t>/</w:t>
                  </w:r>
                </w:p>
              </w:tc>
              <w:tc>
                <w:tcPr>
                  <w:tcW w:w="328" w:type="dxa"/>
                  <w:vMerge w:val="restart"/>
                  <w:vAlign w:val="center"/>
                </w:tcPr>
                <w:p w14:paraId="4163FECD">
                  <w:pPr>
                    <w:pStyle w:val="41"/>
                    <w:adjustRightInd w:val="0"/>
                    <w:rPr>
                      <w:color w:val="auto"/>
                      <w:spacing w:val="-20"/>
                    </w:rPr>
                  </w:pPr>
                  <w:r>
                    <w:rPr>
                      <w:color w:val="auto"/>
                      <w:spacing w:val="-20"/>
                    </w:rPr>
                    <w:t>化粪池</w:t>
                  </w:r>
                </w:p>
              </w:tc>
              <w:tc>
                <w:tcPr>
                  <w:tcW w:w="408" w:type="dxa"/>
                  <w:vAlign w:val="center"/>
                </w:tcPr>
                <w:p w14:paraId="3432D29E">
                  <w:pPr>
                    <w:pStyle w:val="41"/>
                    <w:adjustRightInd w:val="0"/>
                    <w:rPr>
                      <w:color w:val="auto"/>
                      <w:spacing w:val="-20"/>
                    </w:rPr>
                  </w:pPr>
                  <w:r>
                    <w:rPr>
                      <w:color w:val="auto"/>
                    </w:rPr>
                    <w:t>/</w:t>
                  </w:r>
                </w:p>
              </w:tc>
              <w:tc>
                <w:tcPr>
                  <w:tcW w:w="240" w:type="dxa"/>
                  <w:vMerge w:val="restart"/>
                  <w:vAlign w:val="center"/>
                </w:tcPr>
                <w:p w14:paraId="1CC6D091">
                  <w:pPr>
                    <w:pStyle w:val="41"/>
                    <w:adjustRightInd w:val="0"/>
                    <w:rPr>
                      <w:color w:val="auto"/>
                      <w:spacing w:val="-20"/>
                    </w:rPr>
                  </w:pPr>
                  <w:r>
                    <w:rPr>
                      <w:color w:val="auto"/>
                      <w:spacing w:val="-20"/>
                    </w:rPr>
                    <w:t>/</w:t>
                  </w:r>
                </w:p>
              </w:tc>
              <w:tc>
                <w:tcPr>
                  <w:tcW w:w="574" w:type="dxa"/>
                  <w:vMerge w:val="restart"/>
                  <w:vAlign w:val="center"/>
                </w:tcPr>
                <w:p w14:paraId="123C0400">
                  <w:pPr>
                    <w:pStyle w:val="41"/>
                    <w:adjustRightInd w:val="0"/>
                    <w:rPr>
                      <w:color w:val="auto"/>
                      <w:spacing w:val="-20"/>
                    </w:rPr>
                  </w:pPr>
                  <w:r>
                    <w:rPr>
                      <w:rFonts w:hint="eastAsia"/>
                      <w:color w:val="auto"/>
                      <w:spacing w:val="-20"/>
                      <w:lang w:val="en-US" w:eastAsia="zh-CN"/>
                    </w:rPr>
                    <w:t>12</w:t>
                  </w:r>
                  <w:r>
                    <w:rPr>
                      <w:color w:val="auto"/>
                      <w:spacing w:val="-20"/>
                    </w:rPr>
                    <w:t>0</w:t>
                  </w:r>
                </w:p>
              </w:tc>
              <w:tc>
                <w:tcPr>
                  <w:tcW w:w="713" w:type="dxa"/>
                  <w:vAlign w:val="center"/>
                </w:tcPr>
                <w:p w14:paraId="237225C1">
                  <w:pPr>
                    <w:pStyle w:val="41"/>
                    <w:adjustRightInd w:val="0"/>
                    <w:rPr>
                      <w:color w:val="auto"/>
                      <w:spacing w:val="-20"/>
                    </w:rPr>
                  </w:pPr>
                  <w:r>
                    <w:rPr>
                      <w:color w:val="auto"/>
                    </w:rPr>
                    <w:t>6-9</w:t>
                  </w:r>
                </w:p>
              </w:tc>
              <w:tc>
                <w:tcPr>
                  <w:tcW w:w="575" w:type="dxa"/>
                  <w:vAlign w:val="center"/>
                </w:tcPr>
                <w:p w14:paraId="6D1F27F7">
                  <w:pPr>
                    <w:pStyle w:val="42"/>
                    <w:adjustRightInd w:val="0"/>
                    <w:rPr>
                      <w:color w:val="auto"/>
                      <w:spacing w:val="-20"/>
                    </w:rPr>
                  </w:pPr>
                  <w:r>
                    <w:rPr>
                      <w:color w:val="auto"/>
                    </w:rPr>
                    <w:t>/</w:t>
                  </w:r>
                </w:p>
              </w:tc>
              <w:tc>
                <w:tcPr>
                  <w:tcW w:w="700" w:type="dxa"/>
                  <w:shd w:val="clear" w:color="auto" w:fill="auto"/>
                  <w:vAlign w:val="center"/>
                </w:tcPr>
                <w:p w14:paraId="5F4D1A2D">
                  <w:pPr>
                    <w:pStyle w:val="42"/>
                    <w:adjustRightInd w:val="0"/>
                    <w:rPr>
                      <w:color w:val="auto"/>
                    </w:rPr>
                  </w:pPr>
                  <w:r>
                    <w:rPr>
                      <w:color w:val="auto"/>
                    </w:rPr>
                    <w:t>6-9</w:t>
                  </w:r>
                </w:p>
              </w:tc>
              <w:tc>
                <w:tcPr>
                  <w:tcW w:w="400" w:type="dxa"/>
                  <w:vMerge w:val="restart"/>
                  <w:vAlign w:val="center"/>
                </w:tcPr>
                <w:p w14:paraId="2BF21C79">
                  <w:pPr>
                    <w:pStyle w:val="41"/>
                    <w:adjustRightInd w:val="0"/>
                    <w:rPr>
                      <w:color w:val="auto"/>
                      <w:spacing w:val="-20"/>
                    </w:rPr>
                  </w:pPr>
                  <w:r>
                    <w:rPr>
                      <w:color w:val="auto"/>
                      <w:spacing w:val="-20"/>
                    </w:rPr>
                    <w:t>2400</w:t>
                  </w:r>
                </w:p>
              </w:tc>
              <w:tc>
                <w:tcPr>
                  <w:tcW w:w="1054" w:type="dxa"/>
                  <w:vMerge w:val="restart"/>
                  <w:vAlign w:val="center"/>
                </w:tcPr>
                <w:p w14:paraId="023B058F">
                  <w:pPr>
                    <w:pStyle w:val="41"/>
                    <w:adjustRightInd w:val="0"/>
                    <w:rPr>
                      <w:rFonts w:hint="default" w:eastAsia="宋体"/>
                      <w:color w:val="auto"/>
                      <w:spacing w:val="-20"/>
                      <w:lang w:val="en-US" w:eastAsia="zh-CN"/>
                    </w:rPr>
                  </w:pPr>
                  <w:r>
                    <w:rPr>
                      <w:rFonts w:hint="eastAsia"/>
                      <w:color w:val="auto"/>
                      <w:spacing w:val="-20"/>
                      <w:lang w:val="en-US" w:eastAsia="zh-CN"/>
                    </w:rPr>
                    <w:t>近期</w:t>
                  </w:r>
                  <w:r>
                    <w:rPr>
                      <w:color w:val="auto"/>
                      <w:spacing w:val="-20"/>
                    </w:rPr>
                    <w:t>接入</w:t>
                  </w:r>
                  <w:r>
                    <w:rPr>
                      <w:color w:val="auto"/>
                      <w:kern w:val="0"/>
                      <w:lang w:bidi="ar"/>
                    </w:rPr>
                    <w:t>江阴市山泉污水处理厂</w:t>
                  </w:r>
                  <w:r>
                    <w:rPr>
                      <w:color w:val="auto"/>
                      <w:spacing w:val="-20"/>
                    </w:rPr>
                    <w:t>集中处理，尾水排入张家港河</w:t>
                  </w:r>
                  <w:r>
                    <w:rPr>
                      <w:rFonts w:hint="eastAsia"/>
                      <w:color w:val="auto"/>
                      <w:spacing w:val="-20"/>
                      <w:lang w:eastAsia="zh-CN"/>
                    </w:rPr>
                    <w:t>；</w:t>
                  </w:r>
                  <w:r>
                    <w:rPr>
                      <w:rFonts w:hint="eastAsia"/>
                      <w:color w:val="auto"/>
                      <w:spacing w:val="-20"/>
                      <w:lang w:val="en-US" w:eastAsia="zh-CN"/>
                    </w:rPr>
                    <w:t>远期接入</w:t>
                  </w:r>
                  <w:r>
                    <w:rPr>
                      <w:color w:val="auto"/>
                      <w:spacing w:val="-20"/>
                    </w:rPr>
                    <w:t>江阴市兴泉环境工程有限公司</w:t>
                  </w:r>
                  <w:r>
                    <w:rPr>
                      <w:rFonts w:hint="eastAsia"/>
                      <w:color w:val="auto"/>
                      <w:spacing w:val="-20"/>
                      <w:lang w:eastAsia="zh-CN"/>
                    </w:rPr>
                    <w:t>，</w:t>
                  </w:r>
                  <w:r>
                    <w:rPr>
                      <w:color w:val="auto"/>
                      <w:spacing w:val="-20"/>
                    </w:rPr>
                    <w:t>尾水排入张家港河</w:t>
                  </w:r>
                </w:p>
              </w:tc>
            </w:tr>
            <w:tr w14:paraId="2885A1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91" w:hRule="atLeast"/>
                <w:jc w:val="center"/>
              </w:trPr>
              <w:tc>
                <w:tcPr>
                  <w:tcW w:w="254" w:type="dxa"/>
                  <w:vMerge w:val="continue"/>
                  <w:vAlign w:val="center"/>
                </w:tcPr>
                <w:p w14:paraId="14296005">
                  <w:pPr>
                    <w:pStyle w:val="41"/>
                    <w:adjustRightInd w:val="0"/>
                    <w:rPr>
                      <w:color w:val="auto"/>
                      <w:spacing w:val="-20"/>
                    </w:rPr>
                  </w:pPr>
                </w:p>
              </w:tc>
              <w:tc>
                <w:tcPr>
                  <w:tcW w:w="235" w:type="dxa"/>
                  <w:vMerge w:val="continue"/>
                  <w:vAlign w:val="center"/>
                </w:tcPr>
                <w:p w14:paraId="12554CED">
                  <w:pPr>
                    <w:pStyle w:val="41"/>
                    <w:adjustRightInd w:val="0"/>
                    <w:rPr>
                      <w:color w:val="auto"/>
                      <w:spacing w:val="-20"/>
                    </w:rPr>
                  </w:pPr>
                </w:p>
              </w:tc>
              <w:tc>
                <w:tcPr>
                  <w:tcW w:w="403" w:type="dxa"/>
                  <w:vAlign w:val="center"/>
                </w:tcPr>
                <w:p w14:paraId="6D74E0E8">
                  <w:pPr>
                    <w:pStyle w:val="41"/>
                    <w:adjustRightInd w:val="0"/>
                    <w:rPr>
                      <w:color w:val="auto"/>
                      <w:spacing w:val="-20"/>
                    </w:rPr>
                  </w:pPr>
                  <w:r>
                    <w:rPr>
                      <w:color w:val="auto"/>
                      <w:spacing w:val="-20"/>
                    </w:rPr>
                    <w:t>COD</w:t>
                  </w:r>
                </w:p>
              </w:tc>
              <w:tc>
                <w:tcPr>
                  <w:tcW w:w="255" w:type="dxa"/>
                  <w:vMerge w:val="continue"/>
                  <w:vAlign w:val="center"/>
                </w:tcPr>
                <w:p w14:paraId="37E5290E">
                  <w:pPr>
                    <w:pStyle w:val="41"/>
                    <w:adjustRightInd w:val="0"/>
                    <w:rPr>
                      <w:color w:val="auto"/>
                      <w:spacing w:val="-20"/>
                    </w:rPr>
                  </w:pPr>
                </w:p>
              </w:tc>
              <w:tc>
                <w:tcPr>
                  <w:tcW w:w="630" w:type="dxa"/>
                  <w:vMerge w:val="continue"/>
                  <w:vAlign w:val="center"/>
                </w:tcPr>
                <w:p w14:paraId="6D64D2D4">
                  <w:pPr>
                    <w:pStyle w:val="41"/>
                    <w:adjustRightInd w:val="0"/>
                    <w:rPr>
                      <w:color w:val="auto"/>
                      <w:spacing w:val="-20"/>
                    </w:rPr>
                  </w:pPr>
                </w:p>
              </w:tc>
              <w:tc>
                <w:tcPr>
                  <w:tcW w:w="725" w:type="dxa"/>
                  <w:vAlign w:val="center"/>
                </w:tcPr>
                <w:p w14:paraId="4FF8F990">
                  <w:pPr>
                    <w:pStyle w:val="41"/>
                    <w:adjustRightInd w:val="0"/>
                    <w:rPr>
                      <w:color w:val="auto"/>
                      <w:spacing w:val="-20"/>
                    </w:rPr>
                  </w:pPr>
                  <w:r>
                    <w:rPr>
                      <w:color w:val="auto"/>
                      <w:spacing w:val="-20"/>
                    </w:rPr>
                    <w:t>500</w:t>
                  </w:r>
                </w:p>
              </w:tc>
              <w:tc>
                <w:tcPr>
                  <w:tcW w:w="562" w:type="dxa"/>
                  <w:vAlign w:val="center"/>
                </w:tcPr>
                <w:p w14:paraId="1D8AEE8B">
                  <w:pPr>
                    <w:pStyle w:val="41"/>
                    <w:adjustRightInd w:val="0"/>
                    <w:rPr>
                      <w:color w:val="auto"/>
                      <w:spacing w:val="-20"/>
                    </w:rPr>
                  </w:pPr>
                  <w:r>
                    <w:rPr>
                      <w:color w:val="auto"/>
                      <w:spacing w:val="-20"/>
                    </w:rPr>
                    <w:t>0.0600</w:t>
                  </w:r>
                </w:p>
              </w:tc>
              <w:tc>
                <w:tcPr>
                  <w:tcW w:w="328" w:type="dxa"/>
                  <w:vMerge w:val="continue"/>
                  <w:vAlign w:val="center"/>
                </w:tcPr>
                <w:p w14:paraId="75EE0D2E">
                  <w:pPr>
                    <w:pStyle w:val="41"/>
                    <w:adjustRightInd w:val="0"/>
                    <w:rPr>
                      <w:color w:val="auto"/>
                      <w:spacing w:val="-20"/>
                    </w:rPr>
                  </w:pPr>
                </w:p>
              </w:tc>
              <w:tc>
                <w:tcPr>
                  <w:tcW w:w="408" w:type="dxa"/>
                  <w:vAlign w:val="center"/>
                </w:tcPr>
                <w:p w14:paraId="487C90E0">
                  <w:pPr>
                    <w:pStyle w:val="41"/>
                    <w:adjustRightInd w:val="0"/>
                    <w:rPr>
                      <w:color w:val="auto"/>
                      <w:spacing w:val="-20"/>
                    </w:rPr>
                  </w:pPr>
                  <w:r>
                    <w:rPr>
                      <w:color w:val="auto"/>
                      <w:spacing w:val="-20"/>
                    </w:rPr>
                    <w:t>10</w:t>
                  </w:r>
                </w:p>
              </w:tc>
              <w:tc>
                <w:tcPr>
                  <w:tcW w:w="240" w:type="dxa"/>
                  <w:vMerge w:val="continue"/>
                  <w:vAlign w:val="center"/>
                </w:tcPr>
                <w:p w14:paraId="6DCEC241">
                  <w:pPr>
                    <w:pStyle w:val="41"/>
                    <w:adjustRightInd w:val="0"/>
                    <w:rPr>
                      <w:color w:val="auto"/>
                      <w:spacing w:val="-20"/>
                    </w:rPr>
                  </w:pPr>
                </w:p>
              </w:tc>
              <w:tc>
                <w:tcPr>
                  <w:tcW w:w="574" w:type="dxa"/>
                  <w:vMerge w:val="continue"/>
                  <w:vAlign w:val="center"/>
                </w:tcPr>
                <w:p w14:paraId="2FFF327F">
                  <w:pPr>
                    <w:pStyle w:val="41"/>
                    <w:adjustRightInd w:val="0"/>
                    <w:rPr>
                      <w:color w:val="auto"/>
                      <w:spacing w:val="-20"/>
                    </w:rPr>
                  </w:pPr>
                </w:p>
              </w:tc>
              <w:tc>
                <w:tcPr>
                  <w:tcW w:w="713" w:type="dxa"/>
                  <w:vAlign w:val="center"/>
                </w:tcPr>
                <w:p w14:paraId="6C4107C7">
                  <w:pPr>
                    <w:pStyle w:val="41"/>
                    <w:adjustRightInd w:val="0"/>
                    <w:rPr>
                      <w:color w:val="auto"/>
                      <w:spacing w:val="-20"/>
                    </w:rPr>
                  </w:pPr>
                  <w:r>
                    <w:rPr>
                      <w:color w:val="auto"/>
                      <w:spacing w:val="-20"/>
                    </w:rPr>
                    <w:t>450/50</w:t>
                  </w:r>
                </w:p>
              </w:tc>
              <w:tc>
                <w:tcPr>
                  <w:tcW w:w="575" w:type="dxa"/>
                  <w:vAlign w:val="center"/>
                </w:tcPr>
                <w:p w14:paraId="15D44EBD">
                  <w:pPr>
                    <w:pStyle w:val="41"/>
                    <w:adjustRightInd w:val="0"/>
                    <w:rPr>
                      <w:color w:val="auto"/>
                      <w:spacing w:val="-20"/>
                    </w:rPr>
                  </w:pPr>
                  <w:r>
                    <w:rPr>
                      <w:color w:val="auto"/>
                      <w:spacing w:val="-20"/>
                    </w:rPr>
                    <w:t>0.0540</w:t>
                  </w:r>
                  <w:r>
                    <w:rPr>
                      <w:color w:val="auto"/>
                    </w:rPr>
                    <w:t>/0.0060</w:t>
                  </w:r>
                </w:p>
              </w:tc>
              <w:tc>
                <w:tcPr>
                  <w:tcW w:w="700" w:type="dxa"/>
                  <w:shd w:val="clear" w:color="auto" w:fill="auto"/>
                  <w:vAlign w:val="center"/>
                </w:tcPr>
                <w:p w14:paraId="0CDD5C70">
                  <w:pPr>
                    <w:pStyle w:val="42"/>
                    <w:adjustRightInd w:val="0"/>
                    <w:rPr>
                      <w:color w:val="auto"/>
                    </w:rPr>
                  </w:pPr>
                  <w:r>
                    <w:rPr>
                      <w:color w:val="auto"/>
                    </w:rPr>
                    <w:t>500/50</w:t>
                  </w:r>
                </w:p>
              </w:tc>
              <w:tc>
                <w:tcPr>
                  <w:tcW w:w="400" w:type="dxa"/>
                  <w:vMerge w:val="continue"/>
                  <w:vAlign w:val="center"/>
                </w:tcPr>
                <w:p w14:paraId="232FFBDF">
                  <w:pPr>
                    <w:pStyle w:val="41"/>
                    <w:adjustRightInd w:val="0"/>
                    <w:rPr>
                      <w:color w:val="auto"/>
                      <w:spacing w:val="-20"/>
                    </w:rPr>
                  </w:pPr>
                </w:p>
              </w:tc>
              <w:tc>
                <w:tcPr>
                  <w:tcW w:w="1054" w:type="dxa"/>
                  <w:vMerge w:val="continue"/>
                  <w:vAlign w:val="center"/>
                </w:tcPr>
                <w:p w14:paraId="02DE62EC">
                  <w:pPr>
                    <w:pStyle w:val="41"/>
                    <w:adjustRightInd w:val="0"/>
                    <w:rPr>
                      <w:color w:val="auto"/>
                      <w:spacing w:val="-20"/>
                    </w:rPr>
                  </w:pPr>
                </w:p>
              </w:tc>
            </w:tr>
            <w:tr w14:paraId="0C7172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91" w:hRule="atLeast"/>
                <w:jc w:val="center"/>
              </w:trPr>
              <w:tc>
                <w:tcPr>
                  <w:tcW w:w="254" w:type="dxa"/>
                  <w:vMerge w:val="continue"/>
                  <w:vAlign w:val="center"/>
                </w:tcPr>
                <w:p w14:paraId="2981F9C1">
                  <w:pPr>
                    <w:widowControl/>
                    <w:adjustRightInd w:val="0"/>
                    <w:snapToGrid w:val="0"/>
                    <w:jc w:val="left"/>
                    <w:rPr>
                      <w:color w:val="auto"/>
                      <w:spacing w:val="-20"/>
                    </w:rPr>
                  </w:pPr>
                </w:p>
              </w:tc>
              <w:tc>
                <w:tcPr>
                  <w:tcW w:w="235" w:type="dxa"/>
                  <w:vMerge w:val="continue"/>
                  <w:vAlign w:val="center"/>
                </w:tcPr>
                <w:p w14:paraId="7A571808">
                  <w:pPr>
                    <w:widowControl/>
                    <w:adjustRightInd w:val="0"/>
                    <w:snapToGrid w:val="0"/>
                    <w:jc w:val="left"/>
                    <w:rPr>
                      <w:color w:val="auto"/>
                      <w:spacing w:val="-20"/>
                    </w:rPr>
                  </w:pPr>
                </w:p>
              </w:tc>
              <w:tc>
                <w:tcPr>
                  <w:tcW w:w="403" w:type="dxa"/>
                  <w:vAlign w:val="center"/>
                </w:tcPr>
                <w:p w14:paraId="7A41F093">
                  <w:pPr>
                    <w:pStyle w:val="41"/>
                    <w:adjustRightInd w:val="0"/>
                    <w:rPr>
                      <w:color w:val="auto"/>
                      <w:spacing w:val="-20"/>
                    </w:rPr>
                  </w:pPr>
                  <w:r>
                    <w:rPr>
                      <w:color w:val="auto"/>
                      <w:spacing w:val="-20"/>
                    </w:rPr>
                    <w:t>SS</w:t>
                  </w:r>
                </w:p>
              </w:tc>
              <w:tc>
                <w:tcPr>
                  <w:tcW w:w="255" w:type="dxa"/>
                  <w:vMerge w:val="continue"/>
                  <w:vAlign w:val="center"/>
                </w:tcPr>
                <w:p w14:paraId="4EB73967">
                  <w:pPr>
                    <w:widowControl/>
                    <w:adjustRightInd w:val="0"/>
                    <w:snapToGrid w:val="0"/>
                    <w:jc w:val="left"/>
                    <w:rPr>
                      <w:color w:val="auto"/>
                      <w:spacing w:val="-20"/>
                    </w:rPr>
                  </w:pPr>
                </w:p>
              </w:tc>
              <w:tc>
                <w:tcPr>
                  <w:tcW w:w="630" w:type="dxa"/>
                  <w:vMerge w:val="continue"/>
                  <w:vAlign w:val="center"/>
                </w:tcPr>
                <w:p w14:paraId="662203F3">
                  <w:pPr>
                    <w:widowControl/>
                    <w:adjustRightInd w:val="0"/>
                    <w:snapToGrid w:val="0"/>
                    <w:jc w:val="left"/>
                    <w:rPr>
                      <w:color w:val="auto"/>
                      <w:spacing w:val="-20"/>
                    </w:rPr>
                  </w:pPr>
                </w:p>
              </w:tc>
              <w:tc>
                <w:tcPr>
                  <w:tcW w:w="725" w:type="dxa"/>
                  <w:vAlign w:val="center"/>
                </w:tcPr>
                <w:p w14:paraId="41FE71D2">
                  <w:pPr>
                    <w:pStyle w:val="41"/>
                    <w:adjustRightInd w:val="0"/>
                    <w:rPr>
                      <w:color w:val="auto"/>
                      <w:spacing w:val="-20"/>
                    </w:rPr>
                  </w:pPr>
                  <w:r>
                    <w:rPr>
                      <w:color w:val="auto"/>
                      <w:spacing w:val="-20"/>
                    </w:rPr>
                    <w:t>400</w:t>
                  </w:r>
                </w:p>
              </w:tc>
              <w:tc>
                <w:tcPr>
                  <w:tcW w:w="562" w:type="dxa"/>
                  <w:vAlign w:val="center"/>
                </w:tcPr>
                <w:p w14:paraId="59615862">
                  <w:pPr>
                    <w:pStyle w:val="41"/>
                    <w:adjustRightInd w:val="0"/>
                    <w:rPr>
                      <w:color w:val="auto"/>
                      <w:spacing w:val="-20"/>
                    </w:rPr>
                  </w:pPr>
                  <w:r>
                    <w:rPr>
                      <w:color w:val="auto"/>
                      <w:spacing w:val="-20"/>
                    </w:rPr>
                    <w:t>0.0480</w:t>
                  </w:r>
                </w:p>
              </w:tc>
              <w:tc>
                <w:tcPr>
                  <w:tcW w:w="328" w:type="dxa"/>
                  <w:vMerge w:val="continue"/>
                  <w:vAlign w:val="center"/>
                </w:tcPr>
                <w:p w14:paraId="0688924E">
                  <w:pPr>
                    <w:widowControl/>
                    <w:adjustRightInd w:val="0"/>
                    <w:snapToGrid w:val="0"/>
                    <w:jc w:val="left"/>
                    <w:rPr>
                      <w:color w:val="auto"/>
                      <w:spacing w:val="-20"/>
                    </w:rPr>
                  </w:pPr>
                </w:p>
              </w:tc>
              <w:tc>
                <w:tcPr>
                  <w:tcW w:w="408" w:type="dxa"/>
                  <w:vAlign w:val="center"/>
                </w:tcPr>
                <w:p w14:paraId="406160A0">
                  <w:pPr>
                    <w:pStyle w:val="41"/>
                    <w:adjustRightInd w:val="0"/>
                    <w:rPr>
                      <w:color w:val="auto"/>
                      <w:spacing w:val="-20"/>
                    </w:rPr>
                  </w:pPr>
                  <w:r>
                    <w:rPr>
                      <w:color w:val="auto"/>
                      <w:spacing w:val="-20"/>
                    </w:rPr>
                    <w:t>12.5</w:t>
                  </w:r>
                </w:p>
              </w:tc>
              <w:tc>
                <w:tcPr>
                  <w:tcW w:w="240" w:type="dxa"/>
                  <w:vMerge w:val="continue"/>
                  <w:vAlign w:val="center"/>
                </w:tcPr>
                <w:p w14:paraId="72C4ACFE">
                  <w:pPr>
                    <w:widowControl/>
                    <w:adjustRightInd w:val="0"/>
                    <w:snapToGrid w:val="0"/>
                    <w:jc w:val="left"/>
                    <w:rPr>
                      <w:color w:val="auto"/>
                      <w:spacing w:val="-20"/>
                    </w:rPr>
                  </w:pPr>
                </w:p>
              </w:tc>
              <w:tc>
                <w:tcPr>
                  <w:tcW w:w="574" w:type="dxa"/>
                  <w:vMerge w:val="continue"/>
                  <w:vAlign w:val="center"/>
                </w:tcPr>
                <w:p w14:paraId="7E2D886D">
                  <w:pPr>
                    <w:widowControl/>
                    <w:adjustRightInd w:val="0"/>
                    <w:snapToGrid w:val="0"/>
                    <w:jc w:val="left"/>
                    <w:rPr>
                      <w:color w:val="auto"/>
                      <w:spacing w:val="-20"/>
                    </w:rPr>
                  </w:pPr>
                </w:p>
              </w:tc>
              <w:tc>
                <w:tcPr>
                  <w:tcW w:w="713" w:type="dxa"/>
                  <w:vAlign w:val="center"/>
                </w:tcPr>
                <w:p w14:paraId="33D7BD0D">
                  <w:pPr>
                    <w:pStyle w:val="41"/>
                    <w:adjustRightInd w:val="0"/>
                    <w:rPr>
                      <w:color w:val="auto"/>
                      <w:spacing w:val="-20"/>
                    </w:rPr>
                  </w:pPr>
                  <w:r>
                    <w:rPr>
                      <w:color w:val="auto"/>
                      <w:spacing w:val="-20"/>
                    </w:rPr>
                    <w:t>350/10</w:t>
                  </w:r>
                </w:p>
              </w:tc>
              <w:tc>
                <w:tcPr>
                  <w:tcW w:w="575" w:type="dxa"/>
                  <w:vAlign w:val="center"/>
                </w:tcPr>
                <w:p w14:paraId="767C7482">
                  <w:pPr>
                    <w:pStyle w:val="41"/>
                    <w:adjustRightInd w:val="0"/>
                    <w:rPr>
                      <w:color w:val="auto"/>
                      <w:spacing w:val="-20"/>
                    </w:rPr>
                  </w:pPr>
                  <w:r>
                    <w:rPr>
                      <w:color w:val="auto"/>
                      <w:spacing w:val="-20"/>
                    </w:rPr>
                    <w:t>0.0420</w:t>
                  </w:r>
                  <w:r>
                    <w:rPr>
                      <w:color w:val="auto"/>
                    </w:rPr>
                    <w:t>/0.0012</w:t>
                  </w:r>
                </w:p>
              </w:tc>
              <w:tc>
                <w:tcPr>
                  <w:tcW w:w="700" w:type="dxa"/>
                  <w:shd w:val="clear" w:color="auto" w:fill="auto"/>
                  <w:vAlign w:val="center"/>
                </w:tcPr>
                <w:p w14:paraId="1F8EA8CC">
                  <w:pPr>
                    <w:pStyle w:val="42"/>
                    <w:adjustRightInd w:val="0"/>
                    <w:rPr>
                      <w:color w:val="auto"/>
                    </w:rPr>
                  </w:pPr>
                  <w:r>
                    <w:rPr>
                      <w:color w:val="auto"/>
                    </w:rPr>
                    <w:t>400/10</w:t>
                  </w:r>
                </w:p>
              </w:tc>
              <w:tc>
                <w:tcPr>
                  <w:tcW w:w="400" w:type="dxa"/>
                  <w:vMerge w:val="continue"/>
                  <w:vAlign w:val="center"/>
                </w:tcPr>
                <w:p w14:paraId="3EEE6078">
                  <w:pPr>
                    <w:widowControl/>
                    <w:adjustRightInd w:val="0"/>
                    <w:snapToGrid w:val="0"/>
                    <w:jc w:val="left"/>
                    <w:rPr>
                      <w:color w:val="auto"/>
                      <w:spacing w:val="-20"/>
                    </w:rPr>
                  </w:pPr>
                </w:p>
              </w:tc>
              <w:tc>
                <w:tcPr>
                  <w:tcW w:w="1054" w:type="dxa"/>
                  <w:vMerge w:val="continue"/>
                  <w:vAlign w:val="center"/>
                </w:tcPr>
                <w:p w14:paraId="59F7A493">
                  <w:pPr>
                    <w:widowControl/>
                    <w:adjustRightInd w:val="0"/>
                    <w:snapToGrid w:val="0"/>
                    <w:jc w:val="left"/>
                    <w:rPr>
                      <w:color w:val="auto"/>
                      <w:spacing w:val="-20"/>
                    </w:rPr>
                  </w:pPr>
                </w:p>
              </w:tc>
            </w:tr>
            <w:tr w14:paraId="7D4656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91" w:hRule="atLeast"/>
                <w:jc w:val="center"/>
              </w:trPr>
              <w:tc>
                <w:tcPr>
                  <w:tcW w:w="254" w:type="dxa"/>
                  <w:vMerge w:val="continue"/>
                  <w:vAlign w:val="center"/>
                </w:tcPr>
                <w:p w14:paraId="7732E2A0">
                  <w:pPr>
                    <w:widowControl/>
                    <w:adjustRightInd w:val="0"/>
                    <w:snapToGrid w:val="0"/>
                    <w:jc w:val="left"/>
                    <w:rPr>
                      <w:color w:val="auto"/>
                      <w:spacing w:val="-20"/>
                    </w:rPr>
                  </w:pPr>
                </w:p>
              </w:tc>
              <w:tc>
                <w:tcPr>
                  <w:tcW w:w="235" w:type="dxa"/>
                  <w:vMerge w:val="continue"/>
                  <w:vAlign w:val="center"/>
                </w:tcPr>
                <w:p w14:paraId="762D0125">
                  <w:pPr>
                    <w:widowControl/>
                    <w:adjustRightInd w:val="0"/>
                    <w:snapToGrid w:val="0"/>
                    <w:jc w:val="left"/>
                    <w:rPr>
                      <w:color w:val="auto"/>
                      <w:spacing w:val="-20"/>
                    </w:rPr>
                  </w:pPr>
                </w:p>
              </w:tc>
              <w:tc>
                <w:tcPr>
                  <w:tcW w:w="403" w:type="dxa"/>
                  <w:vAlign w:val="center"/>
                </w:tcPr>
                <w:p w14:paraId="3791CD5F">
                  <w:pPr>
                    <w:pStyle w:val="41"/>
                    <w:adjustRightInd w:val="0"/>
                    <w:rPr>
                      <w:color w:val="auto"/>
                      <w:spacing w:val="-20"/>
                    </w:rPr>
                  </w:pPr>
                  <w:r>
                    <w:rPr>
                      <w:color w:val="auto"/>
                      <w:spacing w:val="-20"/>
                    </w:rPr>
                    <w:t>氨氮</w:t>
                  </w:r>
                </w:p>
              </w:tc>
              <w:tc>
                <w:tcPr>
                  <w:tcW w:w="255" w:type="dxa"/>
                  <w:vMerge w:val="continue"/>
                  <w:vAlign w:val="center"/>
                </w:tcPr>
                <w:p w14:paraId="6F8082C3">
                  <w:pPr>
                    <w:widowControl/>
                    <w:adjustRightInd w:val="0"/>
                    <w:snapToGrid w:val="0"/>
                    <w:jc w:val="left"/>
                    <w:rPr>
                      <w:color w:val="auto"/>
                      <w:spacing w:val="-20"/>
                    </w:rPr>
                  </w:pPr>
                </w:p>
              </w:tc>
              <w:tc>
                <w:tcPr>
                  <w:tcW w:w="630" w:type="dxa"/>
                  <w:vMerge w:val="continue"/>
                  <w:vAlign w:val="center"/>
                </w:tcPr>
                <w:p w14:paraId="30255718">
                  <w:pPr>
                    <w:widowControl/>
                    <w:adjustRightInd w:val="0"/>
                    <w:snapToGrid w:val="0"/>
                    <w:jc w:val="left"/>
                    <w:rPr>
                      <w:color w:val="auto"/>
                      <w:spacing w:val="-20"/>
                    </w:rPr>
                  </w:pPr>
                </w:p>
              </w:tc>
              <w:tc>
                <w:tcPr>
                  <w:tcW w:w="725" w:type="dxa"/>
                  <w:vAlign w:val="center"/>
                </w:tcPr>
                <w:p w14:paraId="238B0F0F">
                  <w:pPr>
                    <w:pStyle w:val="41"/>
                    <w:adjustRightInd w:val="0"/>
                    <w:rPr>
                      <w:color w:val="auto"/>
                      <w:spacing w:val="-20"/>
                    </w:rPr>
                  </w:pPr>
                  <w:r>
                    <w:rPr>
                      <w:color w:val="auto"/>
                      <w:spacing w:val="-20"/>
                    </w:rPr>
                    <w:t>45</w:t>
                  </w:r>
                </w:p>
              </w:tc>
              <w:tc>
                <w:tcPr>
                  <w:tcW w:w="562" w:type="dxa"/>
                  <w:vAlign w:val="center"/>
                </w:tcPr>
                <w:p w14:paraId="28CD7609">
                  <w:pPr>
                    <w:pStyle w:val="41"/>
                    <w:adjustRightInd w:val="0"/>
                    <w:rPr>
                      <w:color w:val="auto"/>
                      <w:spacing w:val="-20"/>
                    </w:rPr>
                  </w:pPr>
                  <w:r>
                    <w:rPr>
                      <w:color w:val="auto"/>
                      <w:spacing w:val="-20"/>
                    </w:rPr>
                    <w:t>0.0054</w:t>
                  </w:r>
                </w:p>
              </w:tc>
              <w:tc>
                <w:tcPr>
                  <w:tcW w:w="328" w:type="dxa"/>
                  <w:vMerge w:val="continue"/>
                  <w:vAlign w:val="center"/>
                </w:tcPr>
                <w:p w14:paraId="6D360AF6">
                  <w:pPr>
                    <w:widowControl/>
                    <w:adjustRightInd w:val="0"/>
                    <w:snapToGrid w:val="0"/>
                    <w:jc w:val="left"/>
                    <w:rPr>
                      <w:color w:val="auto"/>
                      <w:spacing w:val="-20"/>
                    </w:rPr>
                  </w:pPr>
                </w:p>
              </w:tc>
              <w:tc>
                <w:tcPr>
                  <w:tcW w:w="408" w:type="dxa"/>
                  <w:vAlign w:val="center"/>
                </w:tcPr>
                <w:p w14:paraId="4D4F7B73">
                  <w:pPr>
                    <w:pStyle w:val="41"/>
                    <w:adjustRightInd w:val="0"/>
                    <w:rPr>
                      <w:color w:val="auto"/>
                      <w:spacing w:val="-20"/>
                    </w:rPr>
                  </w:pPr>
                  <w:r>
                    <w:rPr>
                      <w:color w:val="auto"/>
                      <w:spacing w:val="-20"/>
                    </w:rPr>
                    <w:t>/</w:t>
                  </w:r>
                </w:p>
              </w:tc>
              <w:tc>
                <w:tcPr>
                  <w:tcW w:w="240" w:type="dxa"/>
                  <w:vMerge w:val="continue"/>
                  <w:vAlign w:val="center"/>
                </w:tcPr>
                <w:p w14:paraId="7D3FBCD2">
                  <w:pPr>
                    <w:widowControl/>
                    <w:adjustRightInd w:val="0"/>
                    <w:snapToGrid w:val="0"/>
                    <w:jc w:val="left"/>
                    <w:rPr>
                      <w:color w:val="auto"/>
                      <w:spacing w:val="-20"/>
                    </w:rPr>
                  </w:pPr>
                </w:p>
              </w:tc>
              <w:tc>
                <w:tcPr>
                  <w:tcW w:w="574" w:type="dxa"/>
                  <w:vMerge w:val="continue"/>
                  <w:vAlign w:val="center"/>
                </w:tcPr>
                <w:p w14:paraId="113BC086">
                  <w:pPr>
                    <w:widowControl/>
                    <w:adjustRightInd w:val="0"/>
                    <w:snapToGrid w:val="0"/>
                    <w:jc w:val="left"/>
                    <w:rPr>
                      <w:color w:val="auto"/>
                      <w:spacing w:val="-20"/>
                    </w:rPr>
                  </w:pPr>
                </w:p>
              </w:tc>
              <w:tc>
                <w:tcPr>
                  <w:tcW w:w="713" w:type="dxa"/>
                  <w:vAlign w:val="center"/>
                </w:tcPr>
                <w:p w14:paraId="3C558E73">
                  <w:pPr>
                    <w:pStyle w:val="41"/>
                    <w:adjustRightInd w:val="0"/>
                    <w:rPr>
                      <w:color w:val="auto"/>
                      <w:spacing w:val="-20"/>
                    </w:rPr>
                  </w:pPr>
                  <w:r>
                    <w:rPr>
                      <w:color w:val="auto"/>
                      <w:spacing w:val="-20"/>
                    </w:rPr>
                    <w:t>45/4</w:t>
                  </w:r>
                </w:p>
              </w:tc>
              <w:tc>
                <w:tcPr>
                  <w:tcW w:w="575" w:type="dxa"/>
                  <w:vAlign w:val="center"/>
                </w:tcPr>
                <w:p w14:paraId="3946AD57">
                  <w:pPr>
                    <w:pStyle w:val="41"/>
                    <w:adjustRightInd w:val="0"/>
                    <w:rPr>
                      <w:color w:val="auto"/>
                      <w:spacing w:val="-20"/>
                    </w:rPr>
                  </w:pPr>
                  <w:r>
                    <w:rPr>
                      <w:color w:val="auto"/>
                      <w:spacing w:val="-20"/>
                    </w:rPr>
                    <w:t>0.0054</w:t>
                  </w:r>
                  <w:r>
                    <w:rPr>
                      <w:color w:val="auto"/>
                    </w:rPr>
                    <w:t>/0.0005</w:t>
                  </w:r>
                </w:p>
              </w:tc>
              <w:tc>
                <w:tcPr>
                  <w:tcW w:w="700" w:type="dxa"/>
                  <w:shd w:val="clear" w:color="auto" w:fill="auto"/>
                  <w:vAlign w:val="center"/>
                </w:tcPr>
                <w:p w14:paraId="6774BB18">
                  <w:pPr>
                    <w:pStyle w:val="42"/>
                    <w:adjustRightInd w:val="0"/>
                    <w:rPr>
                      <w:color w:val="auto"/>
                    </w:rPr>
                  </w:pPr>
                  <w:r>
                    <w:rPr>
                      <w:color w:val="auto"/>
                    </w:rPr>
                    <w:t>45/4</w:t>
                  </w:r>
                </w:p>
              </w:tc>
              <w:tc>
                <w:tcPr>
                  <w:tcW w:w="400" w:type="dxa"/>
                  <w:vMerge w:val="continue"/>
                  <w:vAlign w:val="center"/>
                </w:tcPr>
                <w:p w14:paraId="043A756B">
                  <w:pPr>
                    <w:widowControl/>
                    <w:adjustRightInd w:val="0"/>
                    <w:snapToGrid w:val="0"/>
                    <w:jc w:val="left"/>
                    <w:rPr>
                      <w:color w:val="auto"/>
                      <w:spacing w:val="-20"/>
                    </w:rPr>
                  </w:pPr>
                </w:p>
              </w:tc>
              <w:tc>
                <w:tcPr>
                  <w:tcW w:w="1054" w:type="dxa"/>
                  <w:vMerge w:val="continue"/>
                  <w:vAlign w:val="center"/>
                </w:tcPr>
                <w:p w14:paraId="51B73A59">
                  <w:pPr>
                    <w:widowControl/>
                    <w:adjustRightInd w:val="0"/>
                    <w:snapToGrid w:val="0"/>
                    <w:jc w:val="left"/>
                    <w:rPr>
                      <w:color w:val="auto"/>
                      <w:spacing w:val="-20"/>
                    </w:rPr>
                  </w:pPr>
                </w:p>
              </w:tc>
            </w:tr>
            <w:tr w14:paraId="1A528D4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491" w:hRule="atLeast"/>
                <w:jc w:val="center"/>
              </w:trPr>
              <w:tc>
                <w:tcPr>
                  <w:tcW w:w="254" w:type="dxa"/>
                  <w:vMerge w:val="continue"/>
                  <w:vAlign w:val="center"/>
                </w:tcPr>
                <w:p w14:paraId="0E64E121">
                  <w:pPr>
                    <w:widowControl/>
                    <w:adjustRightInd w:val="0"/>
                    <w:snapToGrid w:val="0"/>
                    <w:jc w:val="left"/>
                    <w:rPr>
                      <w:color w:val="auto"/>
                      <w:spacing w:val="-20"/>
                    </w:rPr>
                  </w:pPr>
                </w:p>
              </w:tc>
              <w:tc>
                <w:tcPr>
                  <w:tcW w:w="235" w:type="dxa"/>
                  <w:vMerge w:val="continue"/>
                  <w:vAlign w:val="center"/>
                </w:tcPr>
                <w:p w14:paraId="4F1D6E4D">
                  <w:pPr>
                    <w:widowControl/>
                    <w:adjustRightInd w:val="0"/>
                    <w:snapToGrid w:val="0"/>
                    <w:jc w:val="left"/>
                    <w:rPr>
                      <w:color w:val="auto"/>
                      <w:spacing w:val="-20"/>
                    </w:rPr>
                  </w:pPr>
                </w:p>
              </w:tc>
              <w:tc>
                <w:tcPr>
                  <w:tcW w:w="403" w:type="dxa"/>
                  <w:vAlign w:val="center"/>
                </w:tcPr>
                <w:p w14:paraId="371D6C78">
                  <w:pPr>
                    <w:pStyle w:val="41"/>
                    <w:adjustRightInd w:val="0"/>
                    <w:rPr>
                      <w:color w:val="auto"/>
                      <w:spacing w:val="-20"/>
                    </w:rPr>
                  </w:pPr>
                  <w:r>
                    <w:rPr>
                      <w:color w:val="auto"/>
                      <w:spacing w:val="-20"/>
                    </w:rPr>
                    <w:t>总磷</w:t>
                  </w:r>
                </w:p>
              </w:tc>
              <w:tc>
                <w:tcPr>
                  <w:tcW w:w="255" w:type="dxa"/>
                  <w:vMerge w:val="continue"/>
                  <w:vAlign w:val="center"/>
                </w:tcPr>
                <w:p w14:paraId="7ED71207">
                  <w:pPr>
                    <w:widowControl/>
                    <w:adjustRightInd w:val="0"/>
                    <w:snapToGrid w:val="0"/>
                    <w:jc w:val="left"/>
                    <w:rPr>
                      <w:color w:val="auto"/>
                      <w:spacing w:val="-20"/>
                    </w:rPr>
                  </w:pPr>
                </w:p>
              </w:tc>
              <w:tc>
                <w:tcPr>
                  <w:tcW w:w="630" w:type="dxa"/>
                  <w:vMerge w:val="continue"/>
                  <w:vAlign w:val="center"/>
                </w:tcPr>
                <w:p w14:paraId="1BDB9FF7">
                  <w:pPr>
                    <w:widowControl/>
                    <w:adjustRightInd w:val="0"/>
                    <w:snapToGrid w:val="0"/>
                    <w:jc w:val="left"/>
                    <w:rPr>
                      <w:color w:val="auto"/>
                      <w:spacing w:val="-20"/>
                    </w:rPr>
                  </w:pPr>
                </w:p>
              </w:tc>
              <w:tc>
                <w:tcPr>
                  <w:tcW w:w="725" w:type="dxa"/>
                  <w:vAlign w:val="center"/>
                </w:tcPr>
                <w:p w14:paraId="53947F4D">
                  <w:pPr>
                    <w:pStyle w:val="41"/>
                    <w:adjustRightInd w:val="0"/>
                    <w:rPr>
                      <w:color w:val="auto"/>
                      <w:spacing w:val="-20"/>
                    </w:rPr>
                  </w:pPr>
                  <w:r>
                    <w:rPr>
                      <w:color w:val="auto"/>
                      <w:spacing w:val="-20"/>
                    </w:rPr>
                    <w:t>8</w:t>
                  </w:r>
                </w:p>
              </w:tc>
              <w:tc>
                <w:tcPr>
                  <w:tcW w:w="562" w:type="dxa"/>
                  <w:vAlign w:val="center"/>
                </w:tcPr>
                <w:p w14:paraId="02E48C23">
                  <w:pPr>
                    <w:pStyle w:val="41"/>
                    <w:adjustRightInd w:val="0"/>
                    <w:rPr>
                      <w:color w:val="auto"/>
                      <w:spacing w:val="-20"/>
                    </w:rPr>
                  </w:pPr>
                  <w:r>
                    <w:rPr>
                      <w:color w:val="auto"/>
                      <w:spacing w:val="-20"/>
                    </w:rPr>
                    <w:t>0.0010</w:t>
                  </w:r>
                </w:p>
              </w:tc>
              <w:tc>
                <w:tcPr>
                  <w:tcW w:w="328" w:type="dxa"/>
                  <w:vMerge w:val="continue"/>
                  <w:vAlign w:val="center"/>
                </w:tcPr>
                <w:p w14:paraId="14E0C20E">
                  <w:pPr>
                    <w:widowControl/>
                    <w:adjustRightInd w:val="0"/>
                    <w:snapToGrid w:val="0"/>
                    <w:jc w:val="left"/>
                    <w:rPr>
                      <w:color w:val="auto"/>
                      <w:spacing w:val="-20"/>
                    </w:rPr>
                  </w:pPr>
                </w:p>
              </w:tc>
              <w:tc>
                <w:tcPr>
                  <w:tcW w:w="408" w:type="dxa"/>
                  <w:vAlign w:val="center"/>
                </w:tcPr>
                <w:p w14:paraId="0D81546E">
                  <w:pPr>
                    <w:pStyle w:val="41"/>
                    <w:adjustRightInd w:val="0"/>
                    <w:rPr>
                      <w:color w:val="auto"/>
                      <w:spacing w:val="-20"/>
                    </w:rPr>
                  </w:pPr>
                  <w:r>
                    <w:rPr>
                      <w:color w:val="auto"/>
                      <w:spacing w:val="-20"/>
                    </w:rPr>
                    <w:t>/</w:t>
                  </w:r>
                </w:p>
              </w:tc>
              <w:tc>
                <w:tcPr>
                  <w:tcW w:w="240" w:type="dxa"/>
                  <w:vMerge w:val="continue"/>
                  <w:vAlign w:val="center"/>
                </w:tcPr>
                <w:p w14:paraId="3590B310">
                  <w:pPr>
                    <w:widowControl/>
                    <w:adjustRightInd w:val="0"/>
                    <w:snapToGrid w:val="0"/>
                    <w:jc w:val="left"/>
                    <w:rPr>
                      <w:color w:val="auto"/>
                      <w:spacing w:val="-20"/>
                    </w:rPr>
                  </w:pPr>
                </w:p>
              </w:tc>
              <w:tc>
                <w:tcPr>
                  <w:tcW w:w="574" w:type="dxa"/>
                  <w:vMerge w:val="continue"/>
                  <w:vAlign w:val="center"/>
                </w:tcPr>
                <w:p w14:paraId="0B324202">
                  <w:pPr>
                    <w:widowControl/>
                    <w:adjustRightInd w:val="0"/>
                    <w:snapToGrid w:val="0"/>
                    <w:jc w:val="left"/>
                    <w:rPr>
                      <w:color w:val="auto"/>
                      <w:spacing w:val="-20"/>
                    </w:rPr>
                  </w:pPr>
                </w:p>
              </w:tc>
              <w:tc>
                <w:tcPr>
                  <w:tcW w:w="713" w:type="dxa"/>
                  <w:vAlign w:val="center"/>
                </w:tcPr>
                <w:p w14:paraId="221B0E5C">
                  <w:pPr>
                    <w:pStyle w:val="41"/>
                    <w:adjustRightInd w:val="0"/>
                    <w:rPr>
                      <w:color w:val="auto"/>
                      <w:spacing w:val="-20"/>
                    </w:rPr>
                  </w:pPr>
                  <w:r>
                    <w:rPr>
                      <w:color w:val="auto"/>
                      <w:spacing w:val="-20"/>
                    </w:rPr>
                    <w:t>8/0.5</w:t>
                  </w:r>
                </w:p>
              </w:tc>
              <w:tc>
                <w:tcPr>
                  <w:tcW w:w="575" w:type="dxa"/>
                  <w:vAlign w:val="center"/>
                </w:tcPr>
                <w:p w14:paraId="0302ABC7">
                  <w:pPr>
                    <w:pStyle w:val="41"/>
                    <w:adjustRightInd w:val="0"/>
                    <w:rPr>
                      <w:color w:val="auto"/>
                      <w:spacing w:val="-20"/>
                    </w:rPr>
                  </w:pPr>
                  <w:r>
                    <w:rPr>
                      <w:color w:val="auto"/>
                      <w:spacing w:val="-20"/>
                    </w:rPr>
                    <w:t>0.0010</w:t>
                  </w:r>
                  <w:r>
                    <w:rPr>
                      <w:color w:val="auto"/>
                    </w:rPr>
                    <w:t>/0.0001</w:t>
                  </w:r>
                </w:p>
              </w:tc>
              <w:tc>
                <w:tcPr>
                  <w:tcW w:w="700" w:type="dxa"/>
                  <w:shd w:val="clear" w:color="auto" w:fill="auto"/>
                  <w:vAlign w:val="center"/>
                </w:tcPr>
                <w:p w14:paraId="1884A84B">
                  <w:pPr>
                    <w:pStyle w:val="42"/>
                    <w:adjustRightInd w:val="0"/>
                    <w:rPr>
                      <w:color w:val="auto"/>
                    </w:rPr>
                  </w:pPr>
                  <w:r>
                    <w:rPr>
                      <w:color w:val="auto"/>
                    </w:rPr>
                    <w:t>8/0.5</w:t>
                  </w:r>
                </w:p>
              </w:tc>
              <w:tc>
                <w:tcPr>
                  <w:tcW w:w="400" w:type="dxa"/>
                  <w:vMerge w:val="continue"/>
                  <w:vAlign w:val="center"/>
                </w:tcPr>
                <w:p w14:paraId="3439052A">
                  <w:pPr>
                    <w:widowControl/>
                    <w:adjustRightInd w:val="0"/>
                    <w:snapToGrid w:val="0"/>
                    <w:jc w:val="left"/>
                    <w:rPr>
                      <w:color w:val="auto"/>
                      <w:spacing w:val="-20"/>
                    </w:rPr>
                  </w:pPr>
                </w:p>
              </w:tc>
              <w:tc>
                <w:tcPr>
                  <w:tcW w:w="1054" w:type="dxa"/>
                  <w:vMerge w:val="continue"/>
                  <w:vAlign w:val="center"/>
                </w:tcPr>
                <w:p w14:paraId="0A87E46B">
                  <w:pPr>
                    <w:widowControl/>
                    <w:adjustRightInd w:val="0"/>
                    <w:snapToGrid w:val="0"/>
                    <w:jc w:val="left"/>
                    <w:rPr>
                      <w:color w:val="auto"/>
                      <w:spacing w:val="-20"/>
                    </w:rPr>
                  </w:pPr>
                </w:p>
              </w:tc>
            </w:tr>
            <w:tr w14:paraId="1F27AD8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254" w:type="dxa"/>
                  <w:vMerge w:val="continue"/>
                  <w:vAlign w:val="center"/>
                </w:tcPr>
                <w:p w14:paraId="6C029D4E">
                  <w:pPr>
                    <w:widowControl/>
                    <w:adjustRightInd w:val="0"/>
                    <w:snapToGrid w:val="0"/>
                    <w:jc w:val="left"/>
                    <w:rPr>
                      <w:color w:val="auto"/>
                      <w:spacing w:val="-20"/>
                    </w:rPr>
                  </w:pPr>
                </w:p>
              </w:tc>
              <w:tc>
                <w:tcPr>
                  <w:tcW w:w="235" w:type="dxa"/>
                  <w:vMerge w:val="continue"/>
                  <w:vAlign w:val="center"/>
                </w:tcPr>
                <w:p w14:paraId="3B59A23C">
                  <w:pPr>
                    <w:widowControl/>
                    <w:adjustRightInd w:val="0"/>
                    <w:snapToGrid w:val="0"/>
                    <w:jc w:val="left"/>
                    <w:rPr>
                      <w:color w:val="auto"/>
                      <w:spacing w:val="-20"/>
                    </w:rPr>
                  </w:pPr>
                </w:p>
              </w:tc>
              <w:tc>
                <w:tcPr>
                  <w:tcW w:w="403" w:type="dxa"/>
                  <w:vAlign w:val="center"/>
                </w:tcPr>
                <w:p w14:paraId="78B1BD06">
                  <w:pPr>
                    <w:pStyle w:val="41"/>
                    <w:adjustRightInd w:val="0"/>
                    <w:rPr>
                      <w:color w:val="auto"/>
                      <w:spacing w:val="-20"/>
                    </w:rPr>
                  </w:pPr>
                  <w:r>
                    <w:rPr>
                      <w:color w:val="auto"/>
                      <w:spacing w:val="-20"/>
                    </w:rPr>
                    <w:t>总氮</w:t>
                  </w:r>
                </w:p>
              </w:tc>
              <w:tc>
                <w:tcPr>
                  <w:tcW w:w="255" w:type="dxa"/>
                  <w:vMerge w:val="continue"/>
                  <w:vAlign w:val="center"/>
                </w:tcPr>
                <w:p w14:paraId="55AD783A">
                  <w:pPr>
                    <w:widowControl/>
                    <w:adjustRightInd w:val="0"/>
                    <w:snapToGrid w:val="0"/>
                    <w:jc w:val="left"/>
                    <w:rPr>
                      <w:color w:val="auto"/>
                      <w:spacing w:val="-20"/>
                    </w:rPr>
                  </w:pPr>
                </w:p>
              </w:tc>
              <w:tc>
                <w:tcPr>
                  <w:tcW w:w="630" w:type="dxa"/>
                  <w:vMerge w:val="continue"/>
                  <w:vAlign w:val="center"/>
                </w:tcPr>
                <w:p w14:paraId="7AEA3C62">
                  <w:pPr>
                    <w:widowControl/>
                    <w:adjustRightInd w:val="0"/>
                    <w:snapToGrid w:val="0"/>
                    <w:jc w:val="left"/>
                    <w:rPr>
                      <w:color w:val="auto"/>
                      <w:spacing w:val="-20"/>
                    </w:rPr>
                  </w:pPr>
                </w:p>
              </w:tc>
              <w:tc>
                <w:tcPr>
                  <w:tcW w:w="725" w:type="dxa"/>
                  <w:vAlign w:val="center"/>
                </w:tcPr>
                <w:p w14:paraId="071B6A59">
                  <w:pPr>
                    <w:pStyle w:val="41"/>
                    <w:adjustRightInd w:val="0"/>
                    <w:rPr>
                      <w:color w:val="auto"/>
                      <w:spacing w:val="-20"/>
                    </w:rPr>
                  </w:pPr>
                  <w:r>
                    <w:rPr>
                      <w:color w:val="auto"/>
                      <w:spacing w:val="-20"/>
                    </w:rPr>
                    <w:t>70</w:t>
                  </w:r>
                </w:p>
              </w:tc>
              <w:tc>
                <w:tcPr>
                  <w:tcW w:w="562" w:type="dxa"/>
                  <w:vAlign w:val="center"/>
                </w:tcPr>
                <w:p w14:paraId="41CB9DCA">
                  <w:pPr>
                    <w:pStyle w:val="41"/>
                    <w:adjustRightInd w:val="0"/>
                    <w:rPr>
                      <w:color w:val="auto"/>
                      <w:spacing w:val="-20"/>
                    </w:rPr>
                  </w:pPr>
                  <w:r>
                    <w:rPr>
                      <w:color w:val="auto"/>
                      <w:spacing w:val="-20"/>
                    </w:rPr>
                    <w:t>0.0084</w:t>
                  </w:r>
                </w:p>
              </w:tc>
              <w:tc>
                <w:tcPr>
                  <w:tcW w:w="328" w:type="dxa"/>
                  <w:vMerge w:val="continue"/>
                  <w:vAlign w:val="center"/>
                </w:tcPr>
                <w:p w14:paraId="3B7136D5">
                  <w:pPr>
                    <w:widowControl/>
                    <w:adjustRightInd w:val="0"/>
                    <w:snapToGrid w:val="0"/>
                    <w:jc w:val="left"/>
                    <w:rPr>
                      <w:color w:val="auto"/>
                      <w:spacing w:val="-20"/>
                    </w:rPr>
                  </w:pPr>
                </w:p>
              </w:tc>
              <w:tc>
                <w:tcPr>
                  <w:tcW w:w="408" w:type="dxa"/>
                  <w:vAlign w:val="center"/>
                </w:tcPr>
                <w:p w14:paraId="01516B2A">
                  <w:pPr>
                    <w:pStyle w:val="41"/>
                    <w:adjustRightInd w:val="0"/>
                    <w:rPr>
                      <w:color w:val="auto"/>
                      <w:spacing w:val="-20"/>
                    </w:rPr>
                  </w:pPr>
                  <w:r>
                    <w:rPr>
                      <w:color w:val="auto"/>
                      <w:spacing w:val="-20"/>
                    </w:rPr>
                    <w:t>/</w:t>
                  </w:r>
                </w:p>
              </w:tc>
              <w:tc>
                <w:tcPr>
                  <w:tcW w:w="240" w:type="dxa"/>
                  <w:vMerge w:val="continue"/>
                  <w:vAlign w:val="center"/>
                </w:tcPr>
                <w:p w14:paraId="2B88DF4F">
                  <w:pPr>
                    <w:widowControl/>
                    <w:adjustRightInd w:val="0"/>
                    <w:snapToGrid w:val="0"/>
                    <w:jc w:val="left"/>
                    <w:rPr>
                      <w:color w:val="auto"/>
                      <w:spacing w:val="-20"/>
                    </w:rPr>
                  </w:pPr>
                </w:p>
              </w:tc>
              <w:tc>
                <w:tcPr>
                  <w:tcW w:w="574" w:type="dxa"/>
                  <w:vMerge w:val="continue"/>
                  <w:vAlign w:val="center"/>
                </w:tcPr>
                <w:p w14:paraId="3CEBA441">
                  <w:pPr>
                    <w:widowControl/>
                    <w:adjustRightInd w:val="0"/>
                    <w:snapToGrid w:val="0"/>
                    <w:jc w:val="left"/>
                    <w:rPr>
                      <w:color w:val="auto"/>
                      <w:spacing w:val="-20"/>
                    </w:rPr>
                  </w:pPr>
                </w:p>
              </w:tc>
              <w:tc>
                <w:tcPr>
                  <w:tcW w:w="713" w:type="dxa"/>
                  <w:vAlign w:val="center"/>
                </w:tcPr>
                <w:p w14:paraId="37092CB1">
                  <w:pPr>
                    <w:pStyle w:val="41"/>
                    <w:adjustRightInd w:val="0"/>
                    <w:rPr>
                      <w:color w:val="auto"/>
                      <w:spacing w:val="-20"/>
                    </w:rPr>
                  </w:pPr>
                  <w:r>
                    <w:rPr>
                      <w:color w:val="auto"/>
                      <w:spacing w:val="-20"/>
                    </w:rPr>
                    <w:t>70/12</w:t>
                  </w:r>
                </w:p>
              </w:tc>
              <w:tc>
                <w:tcPr>
                  <w:tcW w:w="575" w:type="dxa"/>
                  <w:vAlign w:val="center"/>
                </w:tcPr>
                <w:p w14:paraId="760440A3">
                  <w:pPr>
                    <w:pStyle w:val="41"/>
                    <w:adjustRightInd w:val="0"/>
                    <w:rPr>
                      <w:color w:val="auto"/>
                      <w:spacing w:val="-20"/>
                    </w:rPr>
                  </w:pPr>
                  <w:r>
                    <w:rPr>
                      <w:color w:val="auto"/>
                      <w:spacing w:val="-20"/>
                    </w:rPr>
                    <w:t>0.0084</w:t>
                  </w:r>
                  <w:r>
                    <w:rPr>
                      <w:color w:val="auto"/>
                    </w:rPr>
                    <w:t>/0.0014</w:t>
                  </w:r>
                </w:p>
              </w:tc>
              <w:tc>
                <w:tcPr>
                  <w:tcW w:w="700" w:type="dxa"/>
                  <w:shd w:val="clear" w:color="auto" w:fill="auto"/>
                  <w:vAlign w:val="center"/>
                </w:tcPr>
                <w:p w14:paraId="1C30B237">
                  <w:pPr>
                    <w:pStyle w:val="42"/>
                    <w:adjustRightInd w:val="0"/>
                    <w:rPr>
                      <w:color w:val="auto"/>
                    </w:rPr>
                  </w:pPr>
                  <w:r>
                    <w:rPr>
                      <w:color w:val="auto"/>
                    </w:rPr>
                    <w:t>70/12</w:t>
                  </w:r>
                </w:p>
              </w:tc>
              <w:tc>
                <w:tcPr>
                  <w:tcW w:w="400" w:type="dxa"/>
                  <w:vMerge w:val="continue"/>
                  <w:vAlign w:val="center"/>
                </w:tcPr>
                <w:p w14:paraId="1331AB58">
                  <w:pPr>
                    <w:widowControl/>
                    <w:adjustRightInd w:val="0"/>
                    <w:snapToGrid w:val="0"/>
                    <w:jc w:val="left"/>
                    <w:rPr>
                      <w:color w:val="auto"/>
                      <w:spacing w:val="-20"/>
                    </w:rPr>
                  </w:pPr>
                </w:p>
              </w:tc>
              <w:tc>
                <w:tcPr>
                  <w:tcW w:w="1054" w:type="dxa"/>
                  <w:vMerge w:val="continue"/>
                  <w:vAlign w:val="center"/>
                </w:tcPr>
                <w:p w14:paraId="73870DC1">
                  <w:pPr>
                    <w:widowControl/>
                    <w:adjustRightInd w:val="0"/>
                    <w:snapToGrid w:val="0"/>
                    <w:jc w:val="left"/>
                    <w:rPr>
                      <w:color w:val="auto"/>
                      <w:spacing w:val="-20"/>
                    </w:rPr>
                  </w:pPr>
                </w:p>
              </w:tc>
            </w:tr>
          </w:tbl>
          <w:p w14:paraId="503A17F2">
            <w:pPr>
              <w:pStyle w:val="44"/>
              <w:adjustRightInd w:val="0"/>
              <w:snapToGrid w:val="0"/>
              <w:ind w:firstLine="360"/>
              <w:rPr>
                <w:color w:val="auto"/>
                <w:sz w:val="18"/>
                <w:szCs w:val="18"/>
              </w:rPr>
            </w:pPr>
            <w:r>
              <w:rPr>
                <w:color w:val="auto"/>
                <w:sz w:val="18"/>
                <w:szCs w:val="18"/>
              </w:rPr>
              <w:t>注：</w:t>
            </w:r>
            <w:r>
              <w:rPr>
                <w:rFonts w:hint="eastAsia"/>
                <w:color w:val="auto"/>
                <w:sz w:val="18"/>
                <w:szCs w:val="18"/>
              </w:rPr>
              <w:t>“</w:t>
            </w:r>
            <w:r>
              <w:rPr>
                <w:color w:val="auto"/>
                <w:sz w:val="18"/>
                <w:szCs w:val="18"/>
              </w:rPr>
              <w:t>/</w:t>
            </w:r>
            <w:r>
              <w:rPr>
                <w:rFonts w:hint="eastAsia"/>
                <w:color w:val="auto"/>
                <w:sz w:val="18"/>
                <w:szCs w:val="18"/>
              </w:rPr>
              <w:t>”</w:t>
            </w:r>
            <w:r>
              <w:rPr>
                <w:color w:val="auto"/>
                <w:sz w:val="18"/>
                <w:szCs w:val="18"/>
              </w:rPr>
              <w:t>前指进入污水处理厂的接管量，</w:t>
            </w:r>
            <w:r>
              <w:rPr>
                <w:rFonts w:hint="eastAsia"/>
                <w:color w:val="auto"/>
                <w:sz w:val="18"/>
                <w:szCs w:val="18"/>
              </w:rPr>
              <w:t>“</w:t>
            </w:r>
            <w:r>
              <w:rPr>
                <w:color w:val="auto"/>
                <w:sz w:val="18"/>
                <w:szCs w:val="18"/>
              </w:rPr>
              <w:t>/</w:t>
            </w:r>
            <w:r>
              <w:rPr>
                <w:rFonts w:hint="eastAsia"/>
                <w:color w:val="auto"/>
                <w:sz w:val="18"/>
                <w:szCs w:val="18"/>
              </w:rPr>
              <w:t>”</w:t>
            </w:r>
            <w:r>
              <w:rPr>
                <w:color w:val="auto"/>
                <w:sz w:val="18"/>
                <w:szCs w:val="18"/>
              </w:rPr>
              <w:t>后指污水处理厂外排量。</w:t>
            </w:r>
          </w:p>
          <w:p w14:paraId="5FB58650">
            <w:pPr>
              <w:adjustRightInd w:val="0"/>
              <w:snapToGrid w:val="0"/>
              <w:ind w:firstLine="480" w:firstLineChars="200"/>
              <w:rPr>
                <w:rFonts w:hint="default"/>
                <w:bCs/>
                <w:color w:val="auto"/>
                <w:sz w:val="24"/>
                <w:szCs w:val="24"/>
                <w:lang w:val="en-US" w:eastAsia="zh-CN"/>
              </w:rPr>
            </w:pPr>
            <w:r>
              <w:rPr>
                <w:bCs/>
                <w:color w:val="auto"/>
                <w:sz w:val="24"/>
                <w:szCs w:val="24"/>
              </w:rPr>
              <w:t>根据上表，本项目生活污水</w:t>
            </w:r>
            <w:r>
              <w:rPr>
                <w:rFonts w:hint="eastAsia"/>
                <w:bCs/>
                <w:color w:val="auto"/>
                <w:sz w:val="24"/>
                <w:szCs w:val="24"/>
              </w:rPr>
              <w:t>经化粪池处理后</w:t>
            </w:r>
            <w:r>
              <w:rPr>
                <w:rFonts w:hint="eastAsia"/>
                <w:bCs/>
                <w:color w:val="auto"/>
                <w:sz w:val="24"/>
                <w:szCs w:val="24"/>
                <w:lang w:val="en-US" w:eastAsia="zh-CN"/>
              </w:rPr>
              <w:t>近期</w:t>
            </w:r>
            <w:r>
              <w:rPr>
                <w:bCs/>
                <w:color w:val="auto"/>
                <w:sz w:val="24"/>
                <w:szCs w:val="24"/>
              </w:rPr>
              <w:t>接入江阴市山泉污水处理厂集中处理，达《太湖地区城镇污水处理厂及重点工业行业主要水污染物排放限值》(DB32/1072-2018)表2标准和《城镇污水处理厂污染物排放标准》（GB18918-2002）表1一级A标准，尾水排入张家港河</w:t>
            </w:r>
            <w:r>
              <w:rPr>
                <w:rFonts w:hint="eastAsia"/>
                <w:bCs/>
                <w:color w:val="auto"/>
                <w:sz w:val="24"/>
                <w:szCs w:val="24"/>
                <w:lang w:eastAsia="zh-CN"/>
              </w:rPr>
              <w:t>；</w:t>
            </w:r>
            <w:r>
              <w:rPr>
                <w:rFonts w:hint="eastAsia"/>
                <w:color w:val="auto"/>
                <w:sz w:val="24"/>
                <w:szCs w:val="24"/>
                <w:lang w:val="en-US" w:eastAsia="zh-CN"/>
              </w:rPr>
              <w:t>远期接入江阴市兴泉环境工程有限公司，尾水达《城镇污水处理厂污染物排放标准》（DB32/4440-2022）表1中C标准，</w:t>
            </w:r>
            <w:r>
              <w:rPr>
                <w:bCs/>
                <w:color w:val="auto"/>
                <w:sz w:val="24"/>
                <w:szCs w:val="24"/>
              </w:rPr>
              <w:t>尾水排入张家港河</w:t>
            </w:r>
            <w:r>
              <w:rPr>
                <w:rFonts w:hint="eastAsia"/>
                <w:color w:val="auto"/>
                <w:sz w:val="24"/>
                <w:szCs w:val="24"/>
                <w:lang w:val="en-US" w:eastAsia="zh-CN"/>
              </w:rPr>
              <w:t>。</w:t>
            </w:r>
          </w:p>
          <w:p w14:paraId="0C364A91">
            <w:pPr>
              <w:adjustRightInd w:val="0"/>
              <w:snapToGrid w:val="0"/>
              <w:rPr>
                <w:b/>
                <w:bCs/>
                <w:color w:val="auto"/>
                <w:sz w:val="24"/>
              </w:rPr>
            </w:pPr>
            <w:r>
              <w:rPr>
                <w:rFonts w:hint="eastAsia"/>
                <w:b/>
                <w:bCs/>
                <w:color w:val="auto"/>
                <w:sz w:val="24"/>
              </w:rPr>
              <w:t>2.6</w:t>
            </w:r>
            <w:r>
              <w:rPr>
                <w:b/>
                <w:bCs/>
                <w:color w:val="auto"/>
                <w:sz w:val="24"/>
              </w:rPr>
              <w:t>结论</w:t>
            </w:r>
          </w:p>
          <w:p w14:paraId="19D751E1">
            <w:pPr>
              <w:adjustRightInd w:val="0"/>
              <w:snapToGrid w:val="0"/>
              <w:ind w:firstLine="480" w:firstLineChars="200"/>
              <w:rPr>
                <w:rFonts w:hint="default" w:ascii="Times New Roman" w:hAnsi="Times New Roman" w:eastAsia="宋体" w:cs="Times New Roman"/>
                <w:color w:val="auto"/>
                <w:sz w:val="24"/>
                <w:szCs w:val="24"/>
                <w:lang w:val="en-US" w:eastAsia="zh-CN"/>
              </w:rPr>
            </w:pPr>
            <w:r>
              <w:rPr>
                <w:color w:val="auto"/>
                <w:sz w:val="24"/>
              </w:rPr>
              <w:t>本项目生活污水产生量为</w:t>
            </w:r>
            <w:r>
              <w:rPr>
                <w:rFonts w:hint="eastAsia"/>
                <w:color w:val="auto"/>
                <w:sz w:val="24"/>
              </w:rPr>
              <w:t>120</w:t>
            </w:r>
            <w:r>
              <w:rPr>
                <w:color w:val="auto"/>
                <w:sz w:val="24"/>
              </w:rPr>
              <w:t>t/a，经化粪池处理后</w:t>
            </w:r>
            <w:r>
              <w:rPr>
                <w:rFonts w:hint="eastAsia"/>
                <w:color w:val="auto"/>
                <w:sz w:val="24"/>
                <w:lang w:val="en-US" w:eastAsia="zh-CN"/>
              </w:rPr>
              <w:t>近期</w:t>
            </w:r>
            <w:r>
              <w:rPr>
                <w:color w:val="auto"/>
                <w:sz w:val="24"/>
              </w:rPr>
              <w:t>接入江阴市山泉污水处理厂集中处理，尾水达《太湖地区城镇污水处理厂及重点工业行业主要水污染物排放限值》（DB32/1072-2018）表2标准和《城镇污水处理厂污染物排放标准》（GB18918-2002）表1一级A标准后排入</w:t>
            </w:r>
            <w:r>
              <w:rPr>
                <w:rFonts w:hint="eastAsia"/>
                <w:color w:val="auto"/>
                <w:sz w:val="24"/>
              </w:rPr>
              <w:t>张家港河</w:t>
            </w:r>
            <w:r>
              <w:rPr>
                <w:rFonts w:hint="eastAsia"/>
                <w:color w:val="auto"/>
                <w:sz w:val="24"/>
                <w:lang w:eastAsia="zh-CN"/>
              </w:rPr>
              <w:t>；</w:t>
            </w:r>
            <w:r>
              <w:rPr>
                <w:rFonts w:hint="eastAsia"/>
                <w:color w:val="auto"/>
                <w:sz w:val="24"/>
                <w:lang w:val="en-US" w:eastAsia="zh-CN"/>
              </w:rPr>
              <w:t>远期接入</w:t>
            </w:r>
            <w:r>
              <w:rPr>
                <w:rFonts w:hint="eastAsia"/>
                <w:color w:val="auto"/>
                <w:sz w:val="24"/>
                <w:szCs w:val="24"/>
                <w:lang w:val="en-US" w:eastAsia="zh-CN"/>
              </w:rPr>
              <w:t>江阴市兴泉环境工</w:t>
            </w:r>
            <w:r>
              <w:rPr>
                <w:rFonts w:hint="eastAsia" w:ascii="Times New Roman" w:hAnsi="Times New Roman" w:eastAsia="宋体" w:cs="Times New Roman"/>
                <w:color w:val="auto"/>
                <w:sz w:val="24"/>
                <w:szCs w:val="24"/>
                <w:lang w:val="en-US" w:eastAsia="zh-CN"/>
              </w:rPr>
              <w:t>程有限公司，尾水达《城镇污水处理厂污染物排放标准》（DB32/4440-2022）表1中C标准，后排入张家港河</w:t>
            </w:r>
          </w:p>
          <w:p w14:paraId="746CD6DD">
            <w:pPr>
              <w:adjustRightInd w:val="0"/>
              <w:snapToGrid w:val="0"/>
              <w:ind w:firstLine="480" w:firstLineChars="200"/>
              <w:rPr>
                <w:b/>
                <w:bCs/>
                <w:color w:val="auto"/>
                <w:kern w:val="0"/>
                <w:sz w:val="24"/>
                <w:szCs w:val="24"/>
                <w:lang w:bidi="ar"/>
              </w:rPr>
            </w:pPr>
            <w:r>
              <w:rPr>
                <w:color w:val="auto"/>
                <w:sz w:val="24"/>
              </w:rPr>
              <w:t>根据江阴市山泉污水处理厂实际运行情况，其有充足的余量接纳项目废水；同时，项目废水的污染物因子较为简单，不会对其水质造成冲击。该污水处理厂处理尾水正常达标排放的前提下，对受纳水体</w:t>
            </w:r>
            <w:r>
              <w:rPr>
                <w:rFonts w:hint="eastAsia"/>
                <w:color w:val="auto"/>
                <w:sz w:val="24"/>
              </w:rPr>
              <w:t>张家港河</w:t>
            </w:r>
            <w:r>
              <w:rPr>
                <w:color w:val="auto"/>
                <w:sz w:val="24"/>
              </w:rPr>
              <w:t>的水质影响不大，不会改变该河现有水体功能类别。</w:t>
            </w:r>
          </w:p>
          <w:p w14:paraId="0E7BC9FC">
            <w:pPr>
              <w:adjustRightInd w:val="0"/>
              <w:snapToGrid w:val="0"/>
              <w:rPr>
                <w:b/>
                <w:bCs/>
                <w:color w:val="auto"/>
                <w:kern w:val="0"/>
                <w:sz w:val="24"/>
                <w:szCs w:val="24"/>
                <w:lang w:bidi="ar"/>
              </w:rPr>
            </w:pPr>
            <w:r>
              <w:rPr>
                <w:b/>
                <w:bCs/>
                <w:color w:val="auto"/>
                <w:kern w:val="0"/>
                <w:sz w:val="24"/>
                <w:szCs w:val="24"/>
                <w:lang w:bidi="ar"/>
              </w:rPr>
              <w:t>2.</w:t>
            </w:r>
            <w:r>
              <w:rPr>
                <w:rFonts w:hint="eastAsia"/>
                <w:b/>
                <w:bCs/>
                <w:color w:val="auto"/>
                <w:kern w:val="0"/>
                <w:sz w:val="24"/>
                <w:szCs w:val="24"/>
                <w:lang w:bidi="ar"/>
              </w:rPr>
              <w:t>7</w:t>
            </w:r>
            <w:r>
              <w:rPr>
                <w:b/>
                <w:bCs/>
                <w:color w:val="auto"/>
                <w:kern w:val="0"/>
                <w:sz w:val="24"/>
                <w:szCs w:val="24"/>
                <w:lang w:bidi="ar"/>
              </w:rPr>
              <w:t>监测计划</w:t>
            </w:r>
          </w:p>
          <w:p w14:paraId="3E007907">
            <w:pPr>
              <w:adjustRightInd w:val="0"/>
              <w:snapToGrid w:val="0"/>
              <w:ind w:firstLine="480" w:firstLineChars="200"/>
              <w:rPr>
                <w:color w:val="auto"/>
                <w:kern w:val="0"/>
                <w:sz w:val="24"/>
                <w:szCs w:val="24"/>
                <w:lang w:bidi="ar"/>
              </w:rPr>
            </w:pPr>
            <w:r>
              <w:rPr>
                <w:color w:val="auto"/>
                <w:kern w:val="0"/>
                <w:sz w:val="24"/>
                <w:szCs w:val="24"/>
                <w:lang w:bidi="ar"/>
              </w:rPr>
              <w:t>本项目废水主要为生活污水</w:t>
            </w:r>
            <w:r>
              <w:rPr>
                <w:rFonts w:hint="eastAsia"/>
                <w:color w:val="auto"/>
                <w:kern w:val="0"/>
                <w:sz w:val="24"/>
                <w:szCs w:val="24"/>
                <w:lang w:bidi="ar"/>
              </w:rPr>
              <w:t>，</w:t>
            </w:r>
            <w:r>
              <w:rPr>
                <w:color w:val="auto"/>
                <w:kern w:val="0"/>
                <w:sz w:val="24"/>
                <w:szCs w:val="24"/>
                <w:lang w:bidi="ar"/>
              </w:rPr>
              <w:t>生活污水经化粪池预处理后通过污水接管口接入</w:t>
            </w:r>
            <w:r>
              <w:rPr>
                <w:color w:val="auto"/>
                <w:sz w:val="24"/>
              </w:rPr>
              <w:t>江阴市山泉污水处理厂</w:t>
            </w:r>
            <w:r>
              <w:rPr>
                <w:color w:val="auto"/>
                <w:kern w:val="0"/>
                <w:sz w:val="24"/>
                <w:szCs w:val="24"/>
                <w:lang w:bidi="ar"/>
              </w:rPr>
              <w:t>集中处理，故不开展地表水环境监测计划。</w:t>
            </w:r>
          </w:p>
          <w:p w14:paraId="332FC907">
            <w:pPr>
              <w:rPr>
                <w:b/>
                <w:bCs/>
                <w:color w:val="auto"/>
                <w:kern w:val="0"/>
                <w:sz w:val="24"/>
                <w:szCs w:val="24"/>
              </w:rPr>
            </w:pPr>
            <w:r>
              <w:rPr>
                <w:b/>
                <w:bCs/>
                <w:color w:val="auto"/>
                <w:kern w:val="0"/>
                <w:sz w:val="24"/>
                <w:szCs w:val="24"/>
              </w:rPr>
              <w:t>3、噪声</w:t>
            </w:r>
          </w:p>
          <w:p w14:paraId="4B3FCFF5">
            <w:pPr>
              <w:adjustRightInd w:val="0"/>
              <w:snapToGrid w:val="0"/>
              <w:ind w:firstLine="482" w:firstLineChars="200"/>
              <w:rPr>
                <w:b/>
                <w:bCs/>
                <w:color w:val="auto"/>
                <w:sz w:val="24"/>
                <w:szCs w:val="24"/>
              </w:rPr>
            </w:pPr>
            <w:r>
              <w:rPr>
                <w:b/>
                <w:bCs/>
                <w:color w:val="auto"/>
                <w:sz w:val="24"/>
                <w:szCs w:val="24"/>
              </w:rPr>
              <w:t>3.1噪声源强</w:t>
            </w:r>
          </w:p>
          <w:p w14:paraId="6A19CF9B">
            <w:pPr>
              <w:snapToGrid w:val="0"/>
              <w:ind w:firstLine="480" w:firstLineChars="200"/>
              <w:rPr>
                <w:color w:val="auto"/>
                <w:sz w:val="24"/>
              </w:rPr>
            </w:pPr>
            <w:r>
              <w:rPr>
                <w:rFonts w:hint="eastAsia"/>
                <w:color w:val="auto"/>
                <w:sz w:val="24"/>
              </w:rPr>
              <w:t>本</w:t>
            </w:r>
            <w:r>
              <w:rPr>
                <w:color w:val="auto"/>
                <w:sz w:val="24"/>
              </w:rPr>
              <w:t>项目噪声源主要为热转移印花机</w:t>
            </w:r>
            <w:r>
              <w:rPr>
                <w:rFonts w:hint="eastAsia"/>
                <w:color w:val="auto"/>
                <w:sz w:val="24"/>
              </w:rPr>
              <w:t>、</w:t>
            </w:r>
            <w:r>
              <w:rPr>
                <w:color w:val="auto"/>
                <w:sz w:val="24"/>
              </w:rPr>
              <w:t>数码打印机</w:t>
            </w:r>
            <w:r>
              <w:rPr>
                <w:rFonts w:hint="eastAsia"/>
                <w:color w:val="auto"/>
                <w:sz w:val="24"/>
              </w:rPr>
              <w:t>、风机</w:t>
            </w:r>
            <w:r>
              <w:rPr>
                <w:color w:val="auto"/>
                <w:sz w:val="24"/>
              </w:rPr>
              <w:t>等</w:t>
            </w:r>
            <w:r>
              <w:rPr>
                <w:rFonts w:hint="eastAsia"/>
                <w:color w:val="auto"/>
                <w:sz w:val="24"/>
              </w:rPr>
              <w:t>生产及辅助设备</w:t>
            </w:r>
            <w:r>
              <w:rPr>
                <w:color w:val="auto"/>
                <w:sz w:val="24"/>
              </w:rPr>
              <w:t>，噪声源强</w:t>
            </w:r>
            <w:r>
              <w:rPr>
                <w:rFonts w:hint="eastAsia"/>
                <w:color w:val="auto"/>
                <w:sz w:val="24"/>
              </w:rPr>
              <w:t>≤90</w:t>
            </w:r>
            <w:r>
              <w:rPr>
                <w:color w:val="auto"/>
                <w:sz w:val="24"/>
              </w:rPr>
              <w:t>dB(A)。各设备噪声源强和防噪措施。</w:t>
            </w:r>
          </w:p>
          <w:p w14:paraId="2D3D8561">
            <w:pPr>
              <w:adjustRightInd w:val="0"/>
              <w:snapToGrid w:val="0"/>
              <w:ind w:firstLine="482" w:firstLineChars="200"/>
              <w:rPr>
                <w:b/>
                <w:bCs/>
                <w:color w:val="auto"/>
                <w:sz w:val="24"/>
                <w:szCs w:val="24"/>
              </w:rPr>
            </w:pPr>
            <w:r>
              <w:rPr>
                <w:b/>
                <w:bCs/>
                <w:color w:val="auto"/>
                <w:sz w:val="24"/>
                <w:szCs w:val="24"/>
              </w:rPr>
              <w:t>3.</w:t>
            </w:r>
            <w:r>
              <w:rPr>
                <w:rFonts w:hint="eastAsia"/>
                <w:b/>
                <w:bCs/>
                <w:color w:val="auto"/>
                <w:sz w:val="24"/>
                <w:szCs w:val="24"/>
              </w:rPr>
              <w:t>2</w:t>
            </w:r>
            <w:r>
              <w:rPr>
                <w:b/>
                <w:bCs/>
                <w:color w:val="auto"/>
                <w:sz w:val="24"/>
                <w:szCs w:val="24"/>
              </w:rPr>
              <w:t>噪声预测结果</w:t>
            </w:r>
          </w:p>
          <w:p w14:paraId="2C32A3F8">
            <w:pPr>
              <w:adjustRightInd w:val="0"/>
              <w:snapToGrid w:val="0"/>
              <w:ind w:firstLine="480"/>
              <w:rPr>
                <w:color w:val="auto"/>
                <w:sz w:val="24"/>
                <w:szCs w:val="24"/>
              </w:rPr>
            </w:pPr>
            <w:r>
              <w:rPr>
                <w:color w:val="auto"/>
                <w:sz w:val="24"/>
                <w:szCs w:val="24"/>
              </w:rPr>
              <w:t>根据《环境影响评价技术导则 声环境》（HJ2.4-2021）要求，室内声源和室外声源分别按照导则附录B和附录A分别计算。为方便计算，噪声源强采用声压级表示，室内声源等效室外声源声功率级计算方法参照导则附录B，先计算各室内声源靠近围护结构处产生的倍频带声压级，再将各计算值进行叠加，然后计算出靠近</w:t>
            </w:r>
            <w:r>
              <w:rPr>
                <w:rFonts w:hint="eastAsia"/>
                <w:color w:val="auto"/>
                <w:sz w:val="24"/>
                <w:szCs w:val="24"/>
              </w:rPr>
              <w:t>室外围护结构</w:t>
            </w:r>
            <w:r>
              <w:rPr>
                <w:color w:val="auto"/>
                <w:sz w:val="24"/>
                <w:szCs w:val="24"/>
              </w:rPr>
              <w:t>处的声压级，最后将室外声源的声压级和透过面积换算成等效的室外声源。室外声源经衰减后在预测点叠加，得到贡献值。</w:t>
            </w:r>
          </w:p>
          <w:p w14:paraId="2620D27D">
            <w:pPr>
              <w:ind w:firstLine="480"/>
              <w:rPr>
                <w:color w:val="auto"/>
                <w:sz w:val="24"/>
                <w:szCs w:val="24"/>
              </w:rPr>
            </w:pPr>
            <w:r>
              <w:rPr>
                <w:rFonts w:hint="eastAsia"/>
                <w:color w:val="auto"/>
                <w:sz w:val="24"/>
                <w:szCs w:val="24"/>
              </w:rPr>
              <w:t>由上表可知，经预测，本项目设备产生的噪声经消声、隔声、减振及距离衰减后，厂界排放噪声达标，噪声贡献值为38.</w:t>
            </w:r>
            <w:r>
              <w:rPr>
                <w:rFonts w:hint="eastAsia"/>
                <w:color w:val="auto"/>
                <w:sz w:val="24"/>
                <w:szCs w:val="24"/>
                <w:lang w:val="en-US" w:eastAsia="zh-CN"/>
              </w:rPr>
              <w:t>2</w:t>
            </w:r>
            <w:r>
              <w:rPr>
                <w:rFonts w:hint="eastAsia" w:ascii="Times New Roman" w:hAnsi="Times New Roman" w:eastAsia="宋体" w:cs="Times New Roman"/>
                <w:color w:val="auto"/>
                <w:sz w:val="24"/>
                <w:szCs w:val="24"/>
              </w:rPr>
              <w:t>dB(A)~</w:t>
            </w:r>
            <w:r>
              <w:rPr>
                <w:rFonts w:hint="eastAsia" w:ascii="Times New Roman" w:hAnsi="Times New Roman" w:eastAsia="宋体" w:cs="Times New Roman"/>
                <w:color w:val="auto"/>
                <w:sz w:val="24"/>
                <w:szCs w:val="24"/>
                <w:lang w:val="en-US" w:eastAsia="zh-CN"/>
              </w:rPr>
              <w:t>53.4</w:t>
            </w:r>
            <w:r>
              <w:rPr>
                <w:rFonts w:hint="eastAsia" w:ascii="Times New Roman" w:hAnsi="Times New Roman" w:eastAsia="宋体" w:cs="Times New Roman"/>
                <w:color w:val="auto"/>
                <w:sz w:val="24"/>
                <w:szCs w:val="24"/>
              </w:rPr>
              <w:t>dB(A</w:t>
            </w:r>
            <w:r>
              <w:rPr>
                <w:rFonts w:hint="eastAsia"/>
                <w:color w:val="auto"/>
                <w:sz w:val="24"/>
                <w:szCs w:val="24"/>
              </w:rPr>
              <w:t>)之间，</w:t>
            </w:r>
            <w:r>
              <w:rPr>
                <w:color w:val="auto"/>
                <w:sz w:val="24"/>
                <w:szCs w:val="24"/>
              </w:rPr>
              <w:t>项目南侧厂界噪声</w:t>
            </w:r>
            <w:r>
              <w:rPr>
                <w:rFonts w:hint="eastAsia"/>
                <w:color w:val="auto"/>
                <w:sz w:val="24"/>
                <w:szCs w:val="24"/>
              </w:rPr>
              <w:t>满足</w:t>
            </w:r>
            <w:r>
              <w:rPr>
                <w:color w:val="auto"/>
                <w:sz w:val="24"/>
                <w:szCs w:val="24"/>
              </w:rPr>
              <w:t>《工业企业厂界环境噪声排放标准》（GB12348-2008）表1中4类标准，其他厂界噪声</w:t>
            </w:r>
            <w:r>
              <w:rPr>
                <w:rFonts w:hint="eastAsia"/>
                <w:color w:val="auto"/>
                <w:sz w:val="24"/>
                <w:szCs w:val="24"/>
              </w:rPr>
              <w:t>满足</w:t>
            </w:r>
            <w:r>
              <w:rPr>
                <w:color w:val="auto"/>
                <w:sz w:val="24"/>
                <w:szCs w:val="24"/>
              </w:rPr>
              <w:t>《工业企业厂界环境噪声排放标准》（GB12348-2008）表1中2类标准</w:t>
            </w:r>
            <w:r>
              <w:rPr>
                <w:rFonts w:hint="eastAsia"/>
                <w:color w:val="auto"/>
                <w:sz w:val="24"/>
                <w:szCs w:val="24"/>
              </w:rPr>
              <w:t>，对厂界噪声影响较小。</w:t>
            </w:r>
          </w:p>
          <w:p w14:paraId="5437DC2D">
            <w:pPr>
              <w:pStyle w:val="13"/>
              <w:adjustRightInd w:val="0"/>
              <w:snapToGrid w:val="0"/>
              <w:spacing w:after="0"/>
              <w:ind w:left="0" w:leftChars="0" w:right="0" w:rightChars="0" w:firstLine="482" w:firstLineChars="200"/>
              <w:rPr>
                <w:b/>
                <w:bCs/>
                <w:color w:val="auto"/>
                <w:sz w:val="24"/>
                <w:szCs w:val="24"/>
              </w:rPr>
            </w:pPr>
            <w:r>
              <w:rPr>
                <w:b/>
                <w:bCs/>
                <w:color w:val="auto"/>
                <w:sz w:val="24"/>
                <w:szCs w:val="24"/>
              </w:rPr>
              <w:t>3.</w:t>
            </w:r>
            <w:r>
              <w:rPr>
                <w:rFonts w:hint="eastAsia"/>
                <w:b/>
                <w:bCs/>
                <w:color w:val="auto"/>
                <w:sz w:val="24"/>
                <w:szCs w:val="24"/>
              </w:rPr>
              <w:t>3</w:t>
            </w:r>
            <w:r>
              <w:rPr>
                <w:b/>
                <w:bCs/>
                <w:color w:val="auto"/>
                <w:sz w:val="24"/>
                <w:szCs w:val="24"/>
              </w:rPr>
              <w:t>噪声防治措施及投资表</w:t>
            </w:r>
          </w:p>
          <w:p w14:paraId="7E069139">
            <w:pPr>
              <w:pStyle w:val="13"/>
              <w:adjustRightInd w:val="0"/>
              <w:snapToGrid w:val="0"/>
              <w:spacing w:after="0"/>
              <w:ind w:left="0" w:leftChars="0" w:right="0" w:rightChars="0" w:firstLine="480" w:firstLineChars="200"/>
              <w:rPr>
                <w:color w:val="auto"/>
                <w:sz w:val="24"/>
                <w:szCs w:val="24"/>
              </w:rPr>
            </w:pPr>
            <w:r>
              <w:rPr>
                <w:color w:val="auto"/>
                <w:sz w:val="24"/>
                <w:szCs w:val="24"/>
              </w:rPr>
              <w:t>为减轻噪声影响，公司采取隔声降噪措施，具体噪声防治措施及投资情况详见表4-</w:t>
            </w:r>
            <w:r>
              <w:rPr>
                <w:rFonts w:hint="eastAsia"/>
                <w:color w:val="auto"/>
                <w:sz w:val="24"/>
                <w:szCs w:val="24"/>
                <w:lang w:val="en-US" w:eastAsia="zh-CN"/>
              </w:rPr>
              <w:t>19</w:t>
            </w:r>
            <w:r>
              <w:rPr>
                <w:color w:val="auto"/>
                <w:sz w:val="24"/>
                <w:szCs w:val="24"/>
              </w:rPr>
              <w:t>。</w:t>
            </w:r>
          </w:p>
          <w:p w14:paraId="5CFE209B">
            <w:pPr>
              <w:pStyle w:val="43"/>
              <w:adjustRightInd w:val="0"/>
              <w:rPr>
                <w:b/>
                <w:bCs w:val="0"/>
                <w:color w:val="auto"/>
                <w:sz w:val="24"/>
                <w:szCs w:val="24"/>
              </w:rPr>
            </w:pPr>
            <w:r>
              <w:rPr>
                <w:b/>
                <w:bCs w:val="0"/>
                <w:color w:val="auto"/>
                <w:sz w:val="24"/>
                <w:szCs w:val="24"/>
              </w:rPr>
              <w:t>表4-</w:t>
            </w:r>
            <w:r>
              <w:rPr>
                <w:rFonts w:hint="eastAsia"/>
                <w:b/>
                <w:bCs w:val="0"/>
                <w:color w:val="auto"/>
                <w:sz w:val="24"/>
                <w:szCs w:val="24"/>
                <w:lang w:val="en-US" w:eastAsia="zh-CN"/>
              </w:rPr>
              <w:t>19</w:t>
            </w:r>
            <w:r>
              <w:rPr>
                <w:b/>
                <w:bCs w:val="0"/>
                <w:color w:val="auto"/>
                <w:sz w:val="24"/>
                <w:szCs w:val="24"/>
              </w:rPr>
              <w:t>工业企业噪声防治措施及投资表</w:t>
            </w:r>
          </w:p>
          <w:tbl>
            <w:tblPr>
              <w:tblStyle w:val="27"/>
              <w:tblW w:w="7957" w:type="dxa"/>
              <w:tblInd w:w="0" w:type="dxa"/>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Layout w:type="fixed"/>
              <w:tblCellMar>
                <w:top w:w="0" w:type="dxa"/>
                <w:left w:w="108" w:type="dxa"/>
                <w:bottom w:w="0" w:type="dxa"/>
                <w:right w:w="108" w:type="dxa"/>
              </w:tblCellMar>
            </w:tblPr>
            <w:tblGrid>
              <w:gridCol w:w="1681"/>
              <w:gridCol w:w="3172"/>
              <w:gridCol w:w="1420"/>
              <w:gridCol w:w="1684"/>
            </w:tblGrid>
            <w:tr w14:paraId="5AE78BCF">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rPr>
                <w:trHeight w:val="340" w:hRule="atLeast"/>
              </w:trPr>
              <w:tc>
                <w:tcPr>
                  <w:tcW w:w="1056" w:type="pct"/>
                  <w:tcBorders>
                    <w:bottom w:val="single" w:color="auto" w:sz="12" w:space="0"/>
                  </w:tcBorders>
                  <w:vAlign w:val="center"/>
                </w:tcPr>
                <w:p w14:paraId="1C35BF8A">
                  <w:pPr>
                    <w:pStyle w:val="42"/>
                    <w:rPr>
                      <w:b/>
                      <w:bCs/>
                      <w:color w:val="auto"/>
                    </w:rPr>
                  </w:pPr>
                  <w:r>
                    <w:rPr>
                      <w:b/>
                      <w:bCs/>
                      <w:color w:val="auto"/>
                    </w:rPr>
                    <w:t>噪声防治措施名称（类型）</w:t>
                  </w:r>
                </w:p>
              </w:tc>
              <w:tc>
                <w:tcPr>
                  <w:tcW w:w="1993" w:type="pct"/>
                  <w:tcBorders>
                    <w:bottom w:val="single" w:color="auto" w:sz="12" w:space="0"/>
                  </w:tcBorders>
                  <w:vAlign w:val="center"/>
                </w:tcPr>
                <w:p w14:paraId="5501D3D1">
                  <w:pPr>
                    <w:pStyle w:val="42"/>
                    <w:rPr>
                      <w:b/>
                      <w:bCs/>
                      <w:color w:val="auto"/>
                    </w:rPr>
                  </w:pPr>
                  <w:r>
                    <w:rPr>
                      <w:b/>
                      <w:bCs/>
                      <w:color w:val="auto"/>
                    </w:rPr>
                    <w:t>噪声防治措施规模</w:t>
                  </w:r>
                </w:p>
              </w:tc>
              <w:tc>
                <w:tcPr>
                  <w:tcW w:w="891" w:type="pct"/>
                  <w:tcBorders>
                    <w:bottom w:val="single" w:color="auto" w:sz="12" w:space="0"/>
                  </w:tcBorders>
                  <w:vAlign w:val="center"/>
                </w:tcPr>
                <w:p w14:paraId="4227EC17">
                  <w:pPr>
                    <w:pStyle w:val="42"/>
                    <w:rPr>
                      <w:b/>
                      <w:bCs/>
                      <w:color w:val="auto"/>
                    </w:rPr>
                  </w:pPr>
                  <w:r>
                    <w:rPr>
                      <w:b/>
                      <w:bCs/>
                      <w:color w:val="auto"/>
                    </w:rPr>
                    <w:t>噪声防治措施效果</w:t>
                  </w:r>
                </w:p>
              </w:tc>
              <w:tc>
                <w:tcPr>
                  <w:tcW w:w="1057" w:type="pct"/>
                  <w:tcBorders>
                    <w:bottom w:val="single" w:color="auto" w:sz="12" w:space="0"/>
                  </w:tcBorders>
                  <w:vAlign w:val="center"/>
                </w:tcPr>
                <w:p w14:paraId="10990F2B">
                  <w:pPr>
                    <w:pStyle w:val="42"/>
                    <w:rPr>
                      <w:b/>
                      <w:bCs/>
                      <w:color w:val="auto"/>
                    </w:rPr>
                  </w:pPr>
                  <w:r>
                    <w:rPr>
                      <w:b/>
                      <w:bCs/>
                      <w:color w:val="auto"/>
                    </w:rPr>
                    <w:t>噪声防治措施投资/万元</w:t>
                  </w:r>
                </w:p>
              </w:tc>
            </w:tr>
            <w:tr w14:paraId="6037AD62">
              <w:tblPrEx>
                <w:tblBorders>
                  <w:top w:val="single" w:color="auto" w:sz="12" w:space="0"/>
                  <w:left w:val="none" w:color="auto" w:sz="0" w:space="0"/>
                  <w:bottom w:val="single" w:color="auto" w:sz="12" w:space="0"/>
                  <w:right w:val="none" w:color="auto" w:sz="0" w:space="0"/>
                  <w:insideH w:val="single" w:color="auto" w:sz="12" w:space="0"/>
                  <w:insideV w:val="single" w:color="auto" w:sz="4" w:space="0"/>
                </w:tblBorders>
                <w:tblCellMar>
                  <w:top w:w="0" w:type="dxa"/>
                  <w:left w:w="108" w:type="dxa"/>
                  <w:bottom w:w="0" w:type="dxa"/>
                  <w:right w:w="108" w:type="dxa"/>
                </w:tblCellMar>
              </w:tblPrEx>
              <w:trPr>
                <w:trHeight w:val="340" w:hRule="atLeast"/>
              </w:trPr>
              <w:tc>
                <w:tcPr>
                  <w:tcW w:w="1056" w:type="pct"/>
                  <w:tcBorders>
                    <w:top w:val="single" w:color="auto" w:sz="12" w:space="0"/>
                    <w:bottom w:val="single" w:color="auto" w:sz="12" w:space="0"/>
                  </w:tcBorders>
                  <w:vAlign w:val="center"/>
                </w:tcPr>
                <w:p w14:paraId="7FEB5DF6">
                  <w:pPr>
                    <w:pStyle w:val="42"/>
                    <w:rPr>
                      <w:color w:val="auto"/>
                    </w:rPr>
                  </w:pPr>
                  <w:r>
                    <w:rPr>
                      <w:color w:val="auto"/>
                    </w:rPr>
                    <w:t>隔声</w:t>
                  </w:r>
                </w:p>
              </w:tc>
              <w:tc>
                <w:tcPr>
                  <w:tcW w:w="1993" w:type="pct"/>
                  <w:tcBorders>
                    <w:top w:val="single" w:color="auto" w:sz="12" w:space="0"/>
                    <w:bottom w:val="single" w:color="auto" w:sz="12" w:space="0"/>
                  </w:tcBorders>
                  <w:vAlign w:val="center"/>
                </w:tcPr>
                <w:p w14:paraId="03809770">
                  <w:pPr>
                    <w:pStyle w:val="42"/>
                    <w:rPr>
                      <w:color w:val="auto"/>
                    </w:rPr>
                  </w:pPr>
                  <w:r>
                    <w:rPr>
                      <w:color w:val="auto"/>
                    </w:rPr>
                    <w:t>①采用低噪声设备，合理布局；②车间墙壁实砌，可有效隔声；③对设备进行经常性维护，保持设备处于良好的运转状态，同时加强内部管理，合理作业，避免不必要的突发性噪声；</w:t>
                  </w:r>
                </w:p>
              </w:tc>
              <w:tc>
                <w:tcPr>
                  <w:tcW w:w="891" w:type="pct"/>
                  <w:tcBorders>
                    <w:top w:val="single" w:color="auto" w:sz="12" w:space="0"/>
                    <w:bottom w:val="single" w:color="auto" w:sz="12" w:space="0"/>
                  </w:tcBorders>
                  <w:vAlign w:val="center"/>
                </w:tcPr>
                <w:p w14:paraId="773E5AE8">
                  <w:pPr>
                    <w:pStyle w:val="42"/>
                    <w:rPr>
                      <w:color w:val="auto"/>
                    </w:rPr>
                  </w:pPr>
                  <w:r>
                    <w:rPr>
                      <w:color w:val="auto"/>
                    </w:rPr>
                    <w:t>良好</w:t>
                  </w:r>
                </w:p>
              </w:tc>
              <w:tc>
                <w:tcPr>
                  <w:tcW w:w="1057" w:type="pct"/>
                  <w:tcBorders>
                    <w:top w:val="single" w:color="auto" w:sz="12" w:space="0"/>
                    <w:bottom w:val="single" w:color="auto" w:sz="12" w:space="0"/>
                  </w:tcBorders>
                  <w:vAlign w:val="center"/>
                </w:tcPr>
                <w:p w14:paraId="2E327177">
                  <w:pPr>
                    <w:pStyle w:val="42"/>
                    <w:rPr>
                      <w:color w:val="auto"/>
                    </w:rPr>
                  </w:pPr>
                  <w:r>
                    <w:rPr>
                      <w:color w:val="auto"/>
                    </w:rPr>
                    <w:t>10</w:t>
                  </w:r>
                </w:p>
              </w:tc>
            </w:tr>
          </w:tbl>
          <w:p w14:paraId="5303698F">
            <w:pPr>
              <w:pStyle w:val="13"/>
              <w:adjustRightInd w:val="0"/>
              <w:snapToGrid w:val="0"/>
              <w:spacing w:after="0"/>
              <w:ind w:left="0" w:leftChars="0" w:right="0" w:rightChars="0" w:firstLine="482" w:firstLineChars="200"/>
              <w:rPr>
                <w:b/>
                <w:bCs/>
                <w:color w:val="auto"/>
                <w:sz w:val="24"/>
                <w:szCs w:val="24"/>
              </w:rPr>
            </w:pPr>
            <w:r>
              <w:rPr>
                <w:b/>
                <w:bCs/>
                <w:color w:val="auto"/>
                <w:sz w:val="24"/>
                <w:szCs w:val="24"/>
              </w:rPr>
              <w:t>3.</w:t>
            </w:r>
            <w:r>
              <w:rPr>
                <w:rFonts w:hint="eastAsia"/>
                <w:b/>
                <w:bCs/>
                <w:color w:val="auto"/>
                <w:sz w:val="24"/>
                <w:szCs w:val="24"/>
              </w:rPr>
              <w:t>4</w:t>
            </w:r>
            <w:r>
              <w:rPr>
                <w:b/>
                <w:bCs/>
                <w:color w:val="auto"/>
                <w:sz w:val="24"/>
                <w:szCs w:val="24"/>
              </w:rPr>
              <w:t>噪声监测计划</w:t>
            </w:r>
          </w:p>
          <w:p w14:paraId="44F56E70">
            <w:pPr>
              <w:overflowPunct w:val="0"/>
              <w:autoSpaceDE w:val="0"/>
              <w:autoSpaceDN w:val="0"/>
              <w:adjustRightInd w:val="0"/>
              <w:snapToGrid w:val="0"/>
              <w:ind w:firstLine="480" w:firstLineChars="200"/>
              <w:rPr>
                <w:snapToGrid w:val="0"/>
                <w:color w:val="auto"/>
                <w:kern w:val="0"/>
                <w:sz w:val="24"/>
                <w:szCs w:val="24"/>
              </w:rPr>
            </w:pPr>
            <w:r>
              <w:rPr>
                <w:bCs/>
                <w:snapToGrid w:val="0"/>
                <w:color w:val="auto"/>
                <w:kern w:val="0"/>
                <w:sz w:val="24"/>
                <w:szCs w:val="24"/>
              </w:rPr>
              <w:t>根据</w:t>
            </w:r>
            <w:r>
              <w:rPr>
                <w:rFonts w:hint="eastAsia"/>
                <w:color w:val="auto"/>
                <w:sz w:val="24"/>
                <w:szCs w:val="24"/>
              </w:rPr>
              <w:t>《排污许可证申</w:t>
            </w:r>
            <w:r>
              <w:rPr>
                <w:rFonts w:hint="eastAsia" w:ascii="Times New Roman" w:hAnsi="Times New Roman" w:eastAsia="宋体" w:cs="Times New Roman"/>
                <w:color w:val="auto"/>
                <w:sz w:val="24"/>
                <w:szCs w:val="24"/>
              </w:rPr>
              <w:t>请与核发技术规范 纺织印染工业》（HJ</w:t>
            </w:r>
            <w:r>
              <w:rPr>
                <w:rFonts w:hint="eastAsia" w:ascii="Times New Roman" w:hAnsi="Times New Roman" w:eastAsia="宋体" w:cs="Times New Roman"/>
                <w:color w:val="auto"/>
                <w:sz w:val="24"/>
                <w:szCs w:val="24"/>
                <w:lang w:val="en-US" w:eastAsia="zh-CN"/>
              </w:rPr>
              <w:t>861</w:t>
            </w:r>
            <w:r>
              <w:rPr>
                <w:rFonts w:hint="eastAsia" w:ascii="Times New Roman" w:hAnsi="Times New Roman" w:eastAsia="宋体" w:cs="Times New Roman"/>
                <w:color w:val="auto"/>
                <w:sz w:val="24"/>
                <w:szCs w:val="24"/>
              </w:rPr>
              <w:t>-2017）</w:t>
            </w:r>
            <w:r>
              <w:rPr>
                <w:rFonts w:hint="eastAsia"/>
                <w:color w:val="auto"/>
                <w:sz w:val="24"/>
                <w:szCs w:val="24"/>
                <w:lang w:eastAsia="zh-CN"/>
              </w:rPr>
              <w:t>、</w:t>
            </w:r>
            <w:r>
              <w:rPr>
                <w:rFonts w:hint="eastAsia"/>
                <w:color w:val="auto"/>
                <w:sz w:val="24"/>
                <w:szCs w:val="24"/>
              </w:rPr>
              <w:t>《排污单位自行监测技术指南</w:t>
            </w:r>
            <w:r>
              <w:rPr>
                <w:rFonts w:hint="eastAsia"/>
                <w:color w:val="auto"/>
                <w:sz w:val="24"/>
                <w:szCs w:val="24"/>
                <w:lang w:val="en-US" w:eastAsia="zh-CN"/>
              </w:rPr>
              <w:t xml:space="preserve"> </w:t>
            </w:r>
            <w:r>
              <w:rPr>
                <w:rFonts w:hint="eastAsia"/>
                <w:color w:val="auto"/>
                <w:sz w:val="24"/>
                <w:szCs w:val="24"/>
              </w:rPr>
              <w:t>纺织印染工业》（HJ</w:t>
            </w:r>
            <w:r>
              <w:rPr>
                <w:rFonts w:hint="eastAsia"/>
                <w:color w:val="auto"/>
                <w:sz w:val="24"/>
                <w:szCs w:val="24"/>
                <w:lang w:val="en-US" w:eastAsia="zh-CN"/>
              </w:rPr>
              <w:t>879</w:t>
            </w:r>
            <w:r>
              <w:rPr>
                <w:rFonts w:hint="eastAsia"/>
                <w:color w:val="auto"/>
                <w:sz w:val="24"/>
                <w:szCs w:val="24"/>
              </w:rPr>
              <w:t>-2017）</w:t>
            </w:r>
            <w:r>
              <w:rPr>
                <w:bCs/>
                <w:snapToGrid w:val="0"/>
                <w:color w:val="auto"/>
                <w:kern w:val="0"/>
                <w:sz w:val="24"/>
                <w:szCs w:val="24"/>
              </w:rPr>
              <w:t>“厂界环境噪声每季度至少开展一次昼、夜间噪声监测”，因此定期监测厂界四周噪声，共设置4个监测点位，监测频率为1次/季</w:t>
            </w:r>
            <w:r>
              <w:rPr>
                <w:snapToGrid w:val="0"/>
                <w:color w:val="auto"/>
                <w:kern w:val="0"/>
                <w:sz w:val="24"/>
                <w:szCs w:val="24"/>
              </w:rPr>
              <w:t>，并在噪声监测点附近醒目处设置环境保护图形标志牌。</w:t>
            </w:r>
          </w:p>
          <w:p w14:paraId="429B3312">
            <w:pPr>
              <w:overflowPunct w:val="0"/>
              <w:autoSpaceDE w:val="0"/>
              <w:autoSpaceDN w:val="0"/>
              <w:adjustRightInd w:val="0"/>
              <w:snapToGrid w:val="0"/>
              <w:jc w:val="center"/>
              <w:rPr>
                <w:snapToGrid w:val="0"/>
                <w:color w:val="auto"/>
                <w:kern w:val="0"/>
                <w:sz w:val="24"/>
                <w:szCs w:val="24"/>
              </w:rPr>
            </w:pPr>
            <w:r>
              <w:rPr>
                <w:b/>
                <w:bCs/>
                <w:snapToGrid w:val="0"/>
                <w:color w:val="auto"/>
                <w:kern w:val="0"/>
                <w:sz w:val="24"/>
                <w:szCs w:val="24"/>
              </w:rPr>
              <w:t>表4-</w:t>
            </w:r>
            <w:r>
              <w:rPr>
                <w:rFonts w:hint="eastAsia"/>
                <w:b/>
                <w:bCs/>
                <w:snapToGrid w:val="0"/>
                <w:color w:val="auto"/>
                <w:kern w:val="0"/>
                <w:sz w:val="24"/>
                <w:szCs w:val="24"/>
                <w:lang w:val="en-US" w:eastAsia="zh-CN"/>
              </w:rPr>
              <w:t>20</w:t>
            </w:r>
            <w:r>
              <w:rPr>
                <w:b/>
                <w:bCs/>
                <w:snapToGrid w:val="0"/>
                <w:color w:val="auto"/>
                <w:kern w:val="0"/>
                <w:sz w:val="24"/>
                <w:szCs w:val="24"/>
              </w:rPr>
              <w:t xml:space="preserve"> 噪声监测计划表</w:t>
            </w:r>
          </w:p>
          <w:tbl>
            <w:tblPr>
              <w:tblStyle w:val="26"/>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867"/>
              <w:gridCol w:w="1671"/>
              <w:gridCol w:w="1532"/>
              <w:gridCol w:w="1391"/>
              <w:gridCol w:w="2451"/>
            </w:tblGrid>
            <w:tr w14:paraId="40645F0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48" w:type="pct"/>
                  <w:vAlign w:val="center"/>
                </w:tcPr>
                <w:p w14:paraId="57031001">
                  <w:pPr>
                    <w:overflowPunct w:val="0"/>
                    <w:autoSpaceDE w:val="0"/>
                    <w:autoSpaceDN w:val="0"/>
                    <w:adjustRightInd w:val="0"/>
                    <w:snapToGrid w:val="0"/>
                    <w:spacing w:line="240" w:lineRule="auto"/>
                    <w:jc w:val="center"/>
                    <w:rPr>
                      <w:b/>
                      <w:bCs/>
                      <w:snapToGrid w:val="0"/>
                      <w:color w:val="auto"/>
                      <w:kern w:val="0"/>
                    </w:rPr>
                  </w:pPr>
                  <w:r>
                    <w:rPr>
                      <w:b/>
                      <w:bCs/>
                      <w:snapToGrid w:val="0"/>
                      <w:color w:val="auto"/>
                      <w:kern w:val="0"/>
                    </w:rPr>
                    <w:t>类别</w:t>
                  </w:r>
                </w:p>
              </w:tc>
              <w:tc>
                <w:tcPr>
                  <w:tcW w:w="1056" w:type="pct"/>
                  <w:vAlign w:val="center"/>
                </w:tcPr>
                <w:p w14:paraId="2B89E7BB">
                  <w:pPr>
                    <w:overflowPunct w:val="0"/>
                    <w:autoSpaceDE w:val="0"/>
                    <w:autoSpaceDN w:val="0"/>
                    <w:adjustRightInd w:val="0"/>
                    <w:snapToGrid w:val="0"/>
                    <w:spacing w:line="240" w:lineRule="auto"/>
                    <w:jc w:val="center"/>
                    <w:rPr>
                      <w:b/>
                      <w:bCs/>
                      <w:snapToGrid w:val="0"/>
                      <w:color w:val="auto"/>
                      <w:kern w:val="0"/>
                    </w:rPr>
                  </w:pPr>
                  <w:r>
                    <w:rPr>
                      <w:b/>
                      <w:bCs/>
                      <w:snapToGrid w:val="0"/>
                      <w:color w:val="auto"/>
                      <w:kern w:val="0"/>
                    </w:rPr>
                    <w:t>监测位置</w:t>
                  </w:r>
                </w:p>
              </w:tc>
              <w:tc>
                <w:tcPr>
                  <w:tcW w:w="968" w:type="pct"/>
                  <w:vAlign w:val="center"/>
                </w:tcPr>
                <w:p w14:paraId="648BC3F4">
                  <w:pPr>
                    <w:overflowPunct w:val="0"/>
                    <w:autoSpaceDE w:val="0"/>
                    <w:autoSpaceDN w:val="0"/>
                    <w:adjustRightInd w:val="0"/>
                    <w:snapToGrid w:val="0"/>
                    <w:spacing w:line="240" w:lineRule="auto"/>
                    <w:jc w:val="center"/>
                    <w:rPr>
                      <w:b/>
                      <w:bCs/>
                      <w:snapToGrid w:val="0"/>
                      <w:color w:val="auto"/>
                      <w:kern w:val="0"/>
                    </w:rPr>
                  </w:pPr>
                  <w:r>
                    <w:rPr>
                      <w:b/>
                      <w:bCs/>
                      <w:snapToGrid w:val="0"/>
                      <w:color w:val="auto"/>
                      <w:kern w:val="0"/>
                    </w:rPr>
                    <w:t>监测项目</w:t>
                  </w:r>
                </w:p>
              </w:tc>
              <w:tc>
                <w:tcPr>
                  <w:tcW w:w="879" w:type="pct"/>
                  <w:vAlign w:val="center"/>
                </w:tcPr>
                <w:p w14:paraId="60E94B5E">
                  <w:pPr>
                    <w:overflowPunct w:val="0"/>
                    <w:autoSpaceDE w:val="0"/>
                    <w:autoSpaceDN w:val="0"/>
                    <w:adjustRightInd w:val="0"/>
                    <w:snapToGrid w:val="0"/>
                    <w:spacing w:line="240" w:lineRule="auto"/>
                    <w:jc w:val="center"/>
                    <w:rPr>
                      <w:b/>
                      <w:bCs/>
                      <w:snapToGrid w:val="0"/>
                      <w:color w:val="auto"/>
                      <w:kern w:val="0"/>
                    </w:rPr>
                  </w:pPr>
                  <w:r>
                    <w:rPr>
                      <w:b/>
                      <w:bCs/>
                      <w:snapToGrid w:val="0"/>
                      <w:color w:val="auto"/>
                      <w:kern w:val="0"/>
                    </w:rPr>
                    <w:t>监测频次</w:t>
                  </w:r>
                </w:p>
              </w:tc>
              <w:tc>
                <w:tcPr>
                  <w:tcW w:w="1549" w:type="pct"/>
                  <w:vAlign w:val="center"/>
                </w:tcPr>
                <w:p w14:paraId="70FD4C48">
                  <w:pPr>
                    <w:overflowPunct w:val="0"/>
                    <w:autoSpaceDE w:val="0"/>
                    <w:autoSpaceDN w:val="0"/>
                    <w:adjustRightInd w:val="0"/>
                    <w:snapToGrid w:val="0"/>
                    <w:spacing w:line="240" w:lineRule="auto"/>
                    <w:jc w:val="center"/>
                    <w:rPr>
                      <w:b/>
                      <w:bCs/>
                      <w:snapToGrid w:val="0"/>
                      <w:color w:val="auto"/>
                      <w:kern w:val="0"/>
                    </w:rPr>
                  </w:pPr>
                  <w:r>
                    <w:rPr>
                      <w:b/>
                      <w:bCs/>
                      <w:snapToGrid w:val="0"/>
                      <w:color w:val="auto"/>
                      <w:kern w:val="0"/>
                    </w:rPr>
                    <w:t>执行标准</w:t>
                  </w:r>
                </w:p>
              </w:tc>
            </w:tr>
            <w:tr w14:paraId="1F52E4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48" w:type="pct"/>
                  <w:vAlign w:val="center"/>
                </w:tcPr>
                <w:p w14:paraId="659DF5D7">
                  <w:pPr>
                    <w:overflowPunct w:val="0"/>
                    <w:autoSpaceDE w:val="0"/>
                    <w:autoSpaceDN w:val="0"/>
                    <w:adjustRightInd w:val="0"/>
                    <w:snapToGrid w:val="0"/>
                    <w:spacing w:line="240" w:lineRule="auto"/>
                    <w:jc w:val="center"/>
                    <w:rPr>
                      <w:snapToGrid w:val="0"/>
                      <w:color w:val="auto"/>
                      <w:kern w:val="0"/>
                    </w:rPr>
                  </w:pPr>
                  <w:r>
                    <w:rPr>
                      <w:snapToGrid w:val="0"/>
                      <w:color w:val="auto"/>
                      <w:kern w:val="0"/>
                    </w:rPr>
                    <w:t>噪声</w:t>
                  </w:r>
                </w:p>
              </w:tc>
              <w:tc>
                <w:tcPr>
                  <w:tcW w:w="1056" w:type="pct"/>
                  <w:vAlign w:val="center"/>
                </w:tcPr>
                <w:p w14:paraId="77ED2DB1">
                  <w:pPr>
                    <w:overflowPunct w:val="0"/>
                    <w:autoSpaceDE w:val="0"/>
                    <w:autoSpaceDN w:val="0"/>
                    <w:adjustRightInd w:val="0"/>
                    <w:snapToGrid w:val="0"/>
                    <w:spacing w:line="240" w:lineRule="auto"/>
                    <w:jc w:val="center"/>
                    <w:rPr>
                      <w:snapToGrid w:val="0"/>
                      <w:color w:val="auto"/>
                      <w:kern w:val="0"/>
                    </w:rPr>
                  </w:pPr>
                  <w:r>
                    <w:rPr>
                      <w:snapToGrid w:val="0"/>
                      <w:color w:val="auto"/>
                      <w:kern w:val="0"/>
                    </w:rPr>
                    <w:t>厂界四周外1m</w:t>
                  </w:r>
                </w:p>
              </w:tc>
              <w:tc>
                <w:tcPr>
                  <w:tcW w:w="968" w:type="pct"/>
                  <w:vAlign w:val="center"/>
                </w:tcPr>
                <w:p w14:paraId="60FED16A">
                  <w:pPr>
                    <w:overflowPunct w:val="0"/>
                    <w:autoSpaceDE w:val="0"/>
                    <w:autoSpaceDN w:val="0"/>
                    <w:adjustRightInd w:val="0"/>
                    <w:snapToGrid w:val="0"/>
                    <w:spacing w:line="240" w:lineRule="auto"/>
                    <w:jc w:val="center"/>
                    <w:rPr>
                      <w:snapToGrid w:val="0"/>
                      <w:color w:val="auto"/>
                      <w:kern w:val="0"/>
                    </w:rPr>
                  </w:pPr>
                  <w:r>
                    <w:rPr>
                      <w:snapToGrid w:val="0"/>
                      <w:color w:val="auto"/>
                      <w:kern w:val="0"/>
                    </w:rPr>
                    <w:t>L</w:t>
                  </w:r>
                  <w:r>
                    <w:rPr>
                      <w:snapToGrid w:val="0"/>
                      <w:color w:val="auto"/>
                      <w:kern w:val="0"/>
                      <w:vertAlign w:val="subscript"/>
                    </w:rPr>
                    <w:t>d</w:t>
                  </w:r>
                  <w:r>
                    <w:rPr>
                      <w:snapToGrid w:val="0"/>
                      <w:color w:val="auto"/>
                      <w:kern w:val="0"/>
                    </w:rPr>
                    <w:t>、L</w:t>
                  </w:r>
                  <w:r>
                    <w:rPr>
                      <w:snapToGrid w:val="0"/>
                      <w:color w:val="auto"/>
                      <w:kern w:val="0"/>
                      <w:vertAlign w:val="subscript"/>
                    </w:rPr>
                    <w:t>n</w:t>
                  </w:r>
                </w:p>
              </w:tc>
              <w:tc>
                <w:tcPr>
                  <w:tcW w:w="879" w:type="pct"/>
                  <w:vAlign w:val="center"/>
                </w:tcPr>
                <w:p w14:paraId="2AB4C1ED">
                  <w:pPr>
                    <w:overflowPunct w:val="0"/>
                    <w:autoSpaceDE w:val="0"/>
                    <w:autoSpaceDN w:val="0"/>
                    <w:adjustRightInd w:val="0"/>
                    <w:snapToGrid w:val="0"/>
                    <w:spacing w:line="240" w:lineRule="auto"/>
                    <w:jc w:val="center"/>
                    <w:rPr>
                      <w:snapToGrid w:val="0"/>
                      <w:color w:val="auto"/>
                      <w:kern w:val="0"/>
                    </w:rPr>
                  </w:pPr>
                  <w:r>
                    <w:rPr>
                      <w:snapToGrid w:val="0"/>
                      <w:color w:val="auto"/>
                      <w:kern w:val="0"/>
                    </w:rPr>
                    <w:t>1次/季</w:t>
                  </w:r>
                </w:p>
              </w:tc>
              <w:tc>
                <w:tcPr>
                  <w:tcW w:w="1549" w:type="pct"/>
                  <w:vAlign w:val="center"/>
                </w:tcPr>
                <w:p w14:paraId="73806295">
                  <w:pPr>
                    <w:overflowPunct w:val="0"/>
                    <w:autoSpaceDE w:val="0"/>
                    <w:autoSpaceDN w:val="0"/>
                    <w:adjustRightInd w:val="0"/>
                    <w:snapToGrid w:val="0"/>
                    <w:spacing w:line="240" w:lineRule="auto"/>
                    <w:jc w:val="center"/>
                    <w:rPr>
                      <w:snapToGrid w:val="0"/>
                      <w:color w:val="auto"/>
                      <w:kern w:val="0"/>
                    </w:rPr>
                  </w:pPr>
                  <w:r>
                    <w:rPr>
                      <w:rFonts w:hint="eastAsia"/>
                      <w:snapToGrid w:val="0"/>
                      <w:color w:val="auto"/>
                      <w:kern w:val="0"/>
                    </w:rPr>
                    <w:t>东、西、北厂界</w:t>
                  </w:r>
                  <w:r>
                    <w:rPr>
                      <w:snapToGrid w:val="0"/>
                      <w:color w:val="auto"/>
                      <w:kern w:val="0"/>
                    </w:rPr>
                    <w:t>《工业企业厂界环境噪声排放标准》（GB12348-2008）2类标准</w:t>
                  </w:r>
                  <w:r>
                    <w:rPr>
                      <w:rFonts w:hint="eastAsia"/>
                      <w:snapToGrid w:val="0"/>
                      <w:color w:val="auto"/>
                      <w:kern w:val="0"/>
                    </w:rPr>
                    <w:t>、南厂界</w:t>
                  </w:r>
                  <w:r>
                    <w:rPr>
                      <w:snapToGrid w:val="0"/>
                      <w:color w:val="auto"/>
                      <w:kern w:val="0"/>
                    </w:rPr>
                    <w:t>《工业企业厂界环境噪声排放标准》（GB12348-2008）</w:t>
                  </w:r>
                  <w:r>
                    <w:rPr>
                      <w:rFonts w:hint="eastAsia"/>
                      <w:snapToGrid w:val="0"/>
                      <w:color w:val="auto"/>
                      <w:kern w:val="0"/>
                    </w:rPr>
                    <w:t>4</w:t>
                  </w:r>
                  <w:r>
                    <w:rPr>
                      <w:snapToGrid w:val="0"/>
                      <w:color w:val="auto"/>
                      <w:kern w:val="0"/>
                    </w:rPr>
                    <w:t>类标准</w:t>
                  </w:r>
                </w:p>
              </w:tc>
            </w:tr>
          </w:tbl>
          <w:p w14:paraId="4A23D4EC">
            <w:pPr>
              <w:adjustRightInd w:val="0"/>
              <w:snapToGrid w:val="0"/>
              <w:rPr>
                <w:b/>
                <w:bCs/>
                <w:color w:val="auto"/>
                <w:sz w:val="24"/>
                <w:szCs w:val="24"/>
              </w:rPr>
            </w:pPr>
            <w:r>
              <w:rPr>
                <w:b/>
                <w:bCs/>
                <w:color w:val="auto"/>
                <w:sz w:val="24"/>
                <w:szCs w:val="24"/>
              </w:rPr>
              <w:t>4、固体废物</w:t>
            </w:r>
          </w:p>
          <w:p w14:paraId="5BAC3042">
            <w:pPr>
              <w:adjustRightInd w:val="0"/>
              <w:snapToGrid w:val="0"/>
              <w:ind w:firstLine="480" w:firstLineChars="200"/>
              <w:rPr>
                <w:color w:val="auto"/>
                <w:sz w:val="24"/>
                <w:szCs w:val="24"/>
              </w:rPr>
            </w:pPr>
            <w:r>
              <w:rPr>
                <w:color w:val="auto"/>
                <w:sz w:val="24"/>
                <w:szCs w:val="24"/>
              </w:rPr>
              <w:t>根据工程分析，本项目</w:t>
            </w:r>
            <w:r>
              <w:rPr>
                <w:rFonts w:hint="eastAsia"/>
                <w:color w:val="auto"/>
                <w:sz w:val="24"/>
                <w:szCs w:val="24"/>
              </w:rPr>
              <w:t>固体废物主要为</w:t>
            </w:r>
            <w:r>
              <w:rPr>
                <w:color w:val="auto"/>
                <w:sz w:val="24"/>
                <w:szCs w:val="24"/>
              </w:rPr>
              <w:t>热转移印花</w:t>
            </w:r>
            <w:r>
              <w:rPr>
                <w:rFonts w:hint="eastAsia"/>
                <w:color w:val="auto"/>
                <w:sz w:val="24"/>
                <w:szCs w:val="24"/>
              </w:rPr>
              <w:t>产生的</w:t>
            </w:r>
            <w:r>
              <w:rPr>
                <w:color w:val="auto"/>
                <w:sz w:val="24"/>
                <w:szCs w:val="24"/>
              </w:rPr>
              <w:t>废纸</w:t>
            </w:r>
            <w:r>
              <w:rPr>
                <w:rFonts w:hint="eastAsia"/>
                <w:color w:val="auto"/>
                <w:sz w:val="24"/>
                <w:szCs w:val="24"/>
              </w:rPr>
              <w:t>、</w:t>
            </w:r>
            <w:r>
              <w:rPr>
                <w:color w:val="auto"/>
                <w:sz w:val="24"/>
                <w:szCs w:val="24"/>
              </w:rPr>
              <w:t>基布检验</w:t>
            </w:r>
            <w:r>
              <w:rPr>
                <w:rFonts w:hint="eastAsia"/>
                <w:color w:val="auto"/>
                <w:sz w:val="24"/>
                <w:szCs w:val="24"/>
              </w:rPr>
              <w:t>产生的</w:t>
            </w:r>
            <w:r>
              <w:rPr>
                <w:color w:val="auto"/>
                <w:sz w:val="24"/>
                <w:szCs w:val="24"/>
              </w:rPr>
              <w:t>废布</w:t>
            </w:r>
            <w:r>
              <w:rPr>
                <w:rFonts w:hint="eastAsia"/>
                <w:color w:val="auto"/>
                <w:sz w:val="24"/>
                <w:szCs w:val="24"/>
              </w:rPr>
              <w:t>、</w:t>
            </w:r>
            <w:r>
              <w:rPr>
                <w:color w:val="auto"/>
                <w:sz w:val="24"/>
                <w:szCs w:val="24"/>
              </w:rPr>
              <w:t>喷头清洗</w:t>
            </w:r>
            <w:r>
              <w:rPr>
                <w:rFonts w:hint="eastAsia"/>
                <w:color w:val="auto"/>
                <w:sz w:val="24"/>
                <w:szCs w:val="24"/>
              </w:rPr>
              <w:t>产生的</w:t>
            </w:r>
            <w:r>
              <w:rPr>
                <w:rFonts w:hint="eastAsia"/>
                <w:color w:val="auto"/>
                <w:sz w:val="24"/>
                <w:szCs w:val="24"/>
                <w:lang w:eastAsia="zh-CN"/>
              </w:rPr>
              <w:t>清洗废液</w:t>
            </w:r>
            <w:r>
              <w:rPr>
                <w:rFonts w:hint="eastAsia"/>
                <w:color w:val="auto"/>
                <w:sz w:val="24"/>
                <w:szCs w:val="24"/>
              </w:rPr>
              <w:t>及</w:t>
            </w:r>
            <w:r>
              <w:rPr>
                <w:color w:val="auto"/>
                <w:sz w:val="24"/>
                <w:szCs w:val="24"/>
              </w:rPr>
              <w:t>废抹布</w:t>
            </w:r>
            <w:r>
              <w:rPr>
                <w:rFonts w:hint="eastAsia"/>
                <w:color w:val="auto"/>
                <w:sz w:val="24"/>
                <w:szCs w:val="24"/>
              </w:rPr>
              <w:t>、</w:t>
            </w:r>
            <w:r>
              <w:rPr>
                <w:color w:val="auto"/>
                <w:sz w:val="24"/>
                <w:szCs w:val="24"/>
              </w:rPr>
              <w:t>原料包装</w:t>
            </w:r>
            <w:r>
              <w:rPr>
                <w:rFonts w:hint="eastAsia"/>
                <w:color w:val="auto"/>
                <w:sz w:val="24"/>
                <w:szCs w:val="24"/>
              </w:rPr>
              <w:t>产生的</w:t>
            </w:r>
            <w:r>
              <w:rPr>
                <w:color w:val="auto"/>
                <w:sz w:val="24"/>
                <w:szCs w:val="24"/>
              </w:rPr>
              <w:t>废包装桶</w:t>
            </w:r>
            <w:r>
              <w:rPr>
                <w:rFonts w:hint="eastAsia"/>
                <w:color w:val="auto"/>
                <w:sz w:val="24"/>
                <w:szCs w:val="24"/>
              </w:rPr>
              <w:t>、</w:t>
            </w:r>
            <w:r>
              <w:rPr>
                <w:color w:val="auto"/>
                <w:sz w:val="24"/>
                <w:szCs w:val="24"/>
              </w:rPr>
              <w:t>废气处理</w:t>
            </w:r>
            <w:r>
              <w:rPr>
                <w:rFonts w:hint="eastAsia"/>
                <w:color w:val="auto"/>
                <w:sz w:val="24"/>
                <w:szCs w:val="24"/>
              </w:rPr>
              <w:t>产生的</w:t>
            </w:r>
            <w:r>
              <w:rPr>
                <w:rFonts w:hint="eastAsia"/>
                <w:color w:val="auto"/>
                <w:sz w:val="24"/>
                <w:szCs w:val="24"/>
                <w:lang w:val="en-US" w:eastAsia="zh-CN"/>
              </w:rPr>
              <w:t>废活性</w:t>
            </w:r>
            <w:r>
              <w:rPr>
                <w:rFonts w:hint="eastAsia"/>
                <w:color w:val="auto"/>
                <w:sz w:val="24"/>
                <w:szCs w:val="24"/>
              </w:rPr>
              <w:t>、</w:t>
            </w:r>
            <w:r>
              <w:rPr>
                <w:color w:val="auto"/>
                <w:sz w:val="24"/>
                <w:szCs w:val="24"/>
              </w:rPr>
              <w:t>设备维护</w:t>
            </w:r>
            <w:r>
              <w:rPr>
                <w:rFonts w:hint="eastAsia"/>
                <w:color w:val="auto"/>
                <w:sz w:val="24"/>
                <w:szCs w:val="24"/>
              </w:rPr>
              <w:t>产生的</w:t>
            </w:r>
            <w:r>
              <w:rPr>
                <w:color w:val="auto"/>
                <w:sz w:val="24"/>
                <w:szCs w:val="24"/>
              </w:rPr>
              <w:t>废</w:t>
            </w:r>
            <w:r>
              <w:rPr>
                <w:rFonts w:hint="eastAsia"/>
                <w:color w:val="auto"/>
                <w:sz w:val="24"/>
                <w:szCs w:val="24"/>
              </w:rPr>
              <w:t>机</w:t>
            </w:r>
            <w:r>
              <w:rPr>
                <w:color w:val="auto"/>
                <w:sz w:val="24"/>
                <w:szCs w:val="24"/>
              </w:rPr>
              <w:t>油</w:t>
            </w:r>
            <w:r>
              <w:rPr>
                <w:rFonts w:hint="eastAsia"/>
                <w:color w:val="auto"/>
                <w:sz w:val="24"/>
                <w:szCs w:val="24"/>
              </w:rPr>
              <w:t>及</w:t>
            </w:r>
            <w:r>
              <w:rPr>
                <w:color w:val="auto"/>
                <w:sz w:val="24"/>
                <w:szCs w:val="24"/>
              </w:rPr>
              <w:t>废油桶</w:t>
            </w:r>
            <w:r>
              <w:rPr>
                <w:rFonts w:hint="eastAsia"/>
                <w:color w:val="auto"/>
                <w:sz w:val="24"/>
                <w:szCs w:val="24"/>
              </w:rPr>
              <w:t>、</w:t>
            </w:r>
            <w:r>
              <w:rPr>
                <w:color w:val="auto"/>
                <w:sz w:val="24"/>
                <w:szCs w:val="24"/>
              </w:rPr>
              <w:t>员工生活</w:t>
            </w:r>
            <w:r>
              <w:rPr>
                <w:rFonts w:hint="eastAsia"/>
                <w:color w:val="auto"/>
                <w:sz w:val="24"/>
                <w:szCs w:val="24"/>
              </w:rPr>
              <w:t>产生的</w:t>
            </w:r>
            <w:r>
              <w:rPr>
                <w:color w:val="auto"/>
                <w:sz w:val="24"/>
                <w:szCs w:val="24"/>
              </w:rPr>
              <w:t>生活垃圾</w:t>
            </w:r>
            <w:r>
              <w:rPr>
                <w:rFonts w:hint="eastAsia"/>
                <w:color w:val="auto"/>
                <w:sz w:val="24"/>
                <w:szCs w:val="24"/>
              </w:rPr>
              <w:t>。</w:t>
            </w:r>
          </w:p>
          <w:p w14:paraId="77C43B99">
            <w:pPr>
              <w:adjustRightInd w:val="0"/>
              <w:snapToGrid w:val="0"/>
              <w:ind w:firstLine="480" w:firstLineChars="200"/>
              <w:rPr>
                <w:color w:val="auto"/>
                <w:sz w:val="24"/>
                <w:szCs w:val="24"/>
              </w:rPr>
            </w:pPr>
            <w:r>
              <w:rPr>
                <w:rFonts w:hint="eastAsia"/>
                <w:color w:val="auto"/>
                <w:sz w:val="24"/>
                <w:szCs w:val="24"/>
              </w:rPr>
              <w:t>（1）</w:t>
            </w:r>
            <w:r>
              <w:rPr>
                <w:color w:val="auto"/>
                <w:sz w:val="24"/>
                <w:szCs w:val="24"/>
              </w:rPr>
              <w:t>废纸</w:t>
            </w:r>
            <w:r>
              <w:rPr>
                <w:rFonts w:hint="eastAsia"/>
                <w:color w:val="auto"/>
                <w:sz w:val="24"/>
                <w:szCs w:val="24"/>
              </w:rPr>
              <w:t>：本项目</w:t>
            </w:r>
            <w:r>
              <w:rPr>
                <w:color w:val="auto"/>
                <w:sz w:val="24"/>
                <w:szCs w:val="24"/>
              </w:rPr>
              <w:t>热转移印花</w:t>
            </w:r>
            <w:r>
              <w:rPr>
                <w:rFonts w:hint="eastAsia"/>
                <w:color w:val="auto"/>
                <w:sz w:val="24"/>
                <w:szCs w:val="24"/>
              </w:rPr>
              <w:t>产生的</w:t>
            </w:r>
            <w:r>
              <w:rPr>
                <w:color w:val="auto"/>
                <w:sz w:val="24"/>
                <w:szCs w:val="24"/>
              </w:rPr>
              <w:t>废纸</w:t>
            </w:r>
            <w:r>
              <w:rPr>
                <w:rFonts w:hint="eastAsia"/>
                <w:color w:val="auto"/>
                <w:sz w:val="24"/>
                <w:szCs w:val="24"/>
              </w:rPr>
              <w:t>，根据原辅料使用情况，废纸产生量为324t/a。</w:t>
            </w:r>
          </w:p>
          <w:p w14:paraId="3E2F64CD">
            <w:pPr>
              <w:adjustRightInd w:val="0"/>
              <w:snapToGrid w:val="0"/>
              <w:ind w:firstLine="480" w:firstLineChars="200"/>
              <w:rPr>
                <w:rFonts w:hint="eastAsia" w:ascii="Times New Roman" w:hAnsi="Times New Roman" w:eastAsia="宋体" w:cs="Times New Roman"/>
                <w:color w:val="auto"/>
                <w:sz w:val="24"/>
                <w:szCs w:val="24"/>
              </w:rPr>
            </w:pPr>
            <w:r>
              <w:rPr>
                <w:color w:val="auto"/>
                <w:sz w:val="24"/>
                <w:szCs w:val="24"/>
              </w:rPr>
              <w:t>（</w:t>
            </w:r>
            <w:r>
              <w:rPr>
                <w:rFonts w:hint="eastAsia"/>
                <w:color w:val="auto"/>
                <w:sz w:val="24"/>
                <w:szCs w:val="24"/>
              </w:rPr>
              <w:t>2</w:t>
            </w:r>
            <w:r>
              <w:rPr>
                <w:color w:val="auto"/>
                <w:sz w:val="24"/>
                <w:szCs w:val="24"/>
              </w:rPr>
              <w:t>）废布</w:t>
            </w:r>
            <w:r>
              <w:rPr>
                <w:rFonts w:hint="eastAsia"/>
                <w:color w:val="auto"/>
                <w:sz w:val="24"/>
                <w:szCs w:val="24"/>
              </w:rPr>
              <w:t>：本项目基布</w:t>
            </w:r>
            <w:r>
              <w:rPr>
                <w:color w:val="auto"/>
                <w:sz w:val="24"/>
                <w:szCs w:val="24"/>
              </w:rPr>
              <w:t>检验</w:t>
            </w:r>
            <w:r>
              <w:rPr>
                <w:rFonts w:hint="eastAsia"/>
                <w:color w:val="auto"/>
                <w:sz w:val="24"/>
                <w:szCs w:val="24"/>
              </w:rPr>
              <w:t>过程中产生次品产生，</w:t>
            </w:r>
            <w:r>
              <w:rPr>
                <w:color w:val="auto"/>
                <w:sz w:val="24"/>
                <w:szCs w:val="24"/>
              </w:rPr>
              <w:t>废</w:t>
            </w:r>
            <w:r>
              <w:rPr>
                <w:rFonts w:hint="eastAsia" w:ascii="Times New Roman" w:hAnsi="Times New Roman" w:eastAsia="宋体" w:cs="Times New Roman"/>
                <w:color w:val="auto"/>
                <w:sz w:val="24"/>
                <w:szCs w:val="24"/>
              </w:rPr>
              <w:t>布产生量</w:t>
            </w:r>
            <w:r>
              <w:rPr>
                <w:rFonts w:hint="eastAsia" w:ascii="Times New Roman" w:hAnsi="Times New Roman" w:eastAsia="宋体" w:cs="Times New Roman"/>
                <w:color w:val="auto"/>
                <w:sz w:val="24"/>
                <w:szCs w:val="24"/>
                <w:lang w:val="en-US" w:eastAsia="zh-CN"/>
              </w:rPr>
              <w:t>约</w:t>
            </w:r>
            <w:r>
              <w:rPr>
                <w:rFonts w:hint="eastAsia" w:ascii="Times New Roman" w:hAnsi="Times New Roman" w:eastAsia="宋体" w:cs="Times New Roman"/>
                <w:color w:val="auto"/>
                <w:sz w:val="24"/>
                <w:szCs w:val="24"/>
              </w:rPr>
              <w:t>为</w:t>
            </w:r>
            <w:r>
              <w:rPr>
                <w:rFonts w:hint="eastAsia" w:cs="Times New Roman" w:eastAsiaTheme="minorEastAsia"/>
                <w:color w:val="auto"/>
                <w:kern w:val="0"/>
                <w:sz w:val="24"/>
                <w:szCs w:val="24"/>
                <w:lang w:val="en-US" w:eastAsia="zh-CN"/>
              </w:rPr>
              <w:t>5.49</w:t>
            </w:r>
            <w:r>
              <w:rPr>
                <w:rFonts w:hint="eastAsia" w:ascii="Times New Roman" w:hAnsi="Times New Roman" w:eastAsia="宋体" w:cs="Times New Roman"/>
                <w:color w:val="auto"/>
                <w:sz w:val="24"/>
                <w:szCs w:val="24"/>
              </w:rPr>
              <w:t>t/a。</w:t>
            </w:r>
          </w:p>
          <w:p w14:paraId="3B3AEF01">
            <w:pPr>
              <w:adjustRightInd w:val="0"/>
              <w:snapToGrid w:val="0"/>
              <w:ind w:firstLine="480" w:firstLineChars="200"/>
              <w:rPr>
                <w:color w:val="auto"/>
                <w:sz w:val="24"/>
                <w:szCs w:val="24"/>
              </w:rPr>
            </w:pPr>
            <w:r>
              <w:rPr>
                <w:rFonts w:hint="eastAsia"/>
                <w:color w:val="auto"/>
                <w:sz w:val="24"/>
                <w:szCs w:val="24"/>
              </w:rPr>
              <w:t>（3）</w:t>
            </w:r>
            <w:r>
              <w:rPr>
                <w:rFonts w:hint="eastAsia"/>
                <w:color w:val="auto"/>
                <w:sz w:val="24"/>
                <w:szCs w:val="24"/>
                <w:lang w:eastAsia="zh-CN"/>
              </w:rPr>
              <w:t>清洗废液</w:t>
            </w:r>
            <w:r>
              <w:rPr>
                <w:rFonts w:hint="eastAsia"/>
                <w:color w:val="auto"/>
                <w:sz w:val="24"/>
                <w:szCs w:val="24"/>
              </w:rPr>
              <w:t>：本项目</w:t>
            </w:r>
            <w:r>
              <w:rPr>
                <w:color w:val="auto"/>
                <w:sz w:val="24"/>
                <w:szCs w:val="24"/>
              </w:rPr>
              <w:t>喷头清洗</w:t>
            </w:r>
            <w:r>
              <w:rPr>
                <w:rFonts w:hint="eastAsia"/>
                <w:color w:val="auto"/>
                <w:sz w:val="24"/>
                <w:szCs w:val="24"/>
              </w:rPr>
              <w:t>产生一定的</w:t>
            </w:r>
            <w:r>
              <w:rPr>
                <w:rFonts w:hint="eastAsia"/>
                <w:color w:val="auto"/>
                <w:sz w:val="24"/>
                <w:szCs w:val="24"/>
                <w:lang w:eastAsia="zh-CN"/>
              </w:rPr>
              <w:t>清洗废液</w:t>
            </w:r>
            <w:r>
              <w:rPr>
                <w:rFonts w:hint="eastAsia"/>
                <w:color w:val="auto"/>
                <w:sz w:val="24"/>
                <w:szCs w:val="24"/>
              </w:rPr>
              <w:t>，根据水平衡可知，产生量约为0.75t/a。</w:t>
            </w:r>
          </w:p>
          <w:p w14:paraId="5EEFCDBB">
            <w:pPr>
              <w:adjustRightInd w:val="0"/>
              <w:snapToGrid w:val="0"/>
              <w:ind w:firstLine="480" w:firstLineChars="200"/>
              <w:rPr>
                <w:color w:val="auto"/>
                <w:sz w:val="24"/>
                <w:szCs w:val="24"/>
              </w:rPr>
            </w:pPr>
            <w:r>
              <w:rPr>
                <w:rFonts w:hint="eastAsia"/>
                <w:color w:val="auto"/>
                <w:sz w:val="24"/>
                <w:szCs w:val="24"/>
              </w:rPr>
              <w:t>（4）</w:t>
            </w:r>
            <w:r>
              <w:rPr>
                <w:color w:val="auto"/>
                <w:sz w:val="24"/>
                <w:szCs w:val="24"/>
              </w:rPr>
              <w:t>废抹布</w:t>
            </w:r>
            <w:r>
              <w:rPr>
                <w:rFonts w:hint="eastAsia"/>
                <w:color w:val="auto"/>
                <w:sz w:val="24"/>
                <w:szCs w:val="24"/>
              </w:rPr>
              <w:t>：本项目</w:t>
            </w:r>
            <w:r>
              <w:rPr>
                <w:color w:val="auto"/>
                <w:sz w:val="24"/>
                <w:szCs w:val="24"/>
              </w:rPr>
              <w:t>喷头清洗</w:t>
            </w:r>
            <w:r>
              <w:rPr>
                <w:rFonts w:hint="eastAsia"/>
                <w:color w:val="auto"/>
                <w:sz w:val="24"/>
                <w:szCs w:val="24"/>
              </w:rPr>
              <w:t>产生一定的</w:t>
            </w:r>
            <w:r>
              <w:rPr>
                <w:color w:val="auto"/>
                <w:sz w:val="24"/>
                <w:szCs w:val="24"/>
              </w:rPr>
              <w:t>废抹布</w:t>
            </w:r>
            <w:r>
              <w:rPr>
                <w:rFonts w:hint="eastAsia"/>
                <w:color w:val="auto"/>
                <w:sz w:val="24"/>
                <w:szCs w:val="24"/>
              </w:rPr>
              <w:t>，产生量约为0.01t/a。</w:t>
            </w:r>
          </w:p>
          <w:p w14:paraId="30B46D01">
            <w:pPr>
              <w:adjustRightInd w:val="0"/>
              <w:snapToGrid w:val="0"/>
              <w:ind w:firstLine="480" w:firstLineChars="200"/>
              <w:rPr>
                <w:color w:val="auto"/>
                <w:sz w:val="24"/>
                <w:szCs w:val="24"/>
              </w:rPr>
            </w:pPr>
            <w:r>
              <w:rPr>
                <w:rFonts w:hint="eastAsia"/>
                <w:color w:val="auto"/>
                <w:sz w:val="24"/>
                <w:szCs w:val="24"/>
              </w:rPr>
              <w:t>（5）</w:t>
            </w:r>
            <w:r>
              <w:rPr>
                <w:color w:val="auto"/>
                <w:sz w:val="24"/>
                <w:szCs w:val="24"/>
              </w:rPr>
              <w:t>废包装桶</w:t>
            </w:r>
            <w:r>
              <w:rPr>
                <w:rFonts w:hint="eastAsia"/>
                <w:color w:val="auto"/>
                <w:sz w:val="24"/>
                <w:szCs w:val="24"/>
              </w:rPr>
              <w:t>：本项目水性墨水使用后会产生</w:t>
            </w:r>
            <w:r>
              <w:rPr>
                <w:color w:val="auto"/>
                <w:sz w:val="24"/>
                <w:szCs w:val="24"/>
              </w:rPr>
              <w:t>废包装桶</w:t>
            </w:r>
            <w:r>
              <w:rPr>
                <w:rFonts w:hint="eastAsia"/>
                <w:color w:val="auto"/>
                <w:sz w:val="24"/>
                <w:szCs w:val="24"/>
              </w:rPr>
              <w:t>，年产生640只，每只重量1.5kg，则</w:t>
            </w:r>
            <w:r>
              <w:rPr>
                <w:color w:val="auto"/>
                <w:sz w:val="24"/>
                <w:szCs w:val="24"/>
              </w:rPr>
              <w:t>废包装桶</w:t>
            </w:r>
            <w:r>
              <w:rPr>
                <w:rFonts w:hint="eastAsia"/>
                <w:color w:val="auto"/>
                <w:sz w:val="24"/>
                <w:szCs w:val="24"/>
              </w:rPr>
              <w:t>产生量为0.96t/a。</w:t>
            </w:r>
          </w:p>
          <w:p w14:paraId="20F61CD1">
            <w:pPr>
              <w:adjustRightInd w:val="0"/>
              <w:snapToGrid w:val="0"/>
              <w:ind w:firstLine="480" w:firstLineChars="200"/>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6</w:t>
            </w:r>
            <w:r>
              <w:rPr>
                <w:rFonts w:hint="eastAsia"/>
                <w:color w:val="auto"/>
                <w:kern w:val="0"/>
                <w:sz w:val="24"/>
                <w:szCs w:val="24"/>
              </w:rPr>
              <w:t>）</w:t>
            </w:r>
            <w:r>
              <w:rPr>
                <w:color w:val="auto"/>
                <w:sz w:val="24"/>
                <w:szCs w:val="24"/>
              </w:rPr>
              <w:t>废</w:t>
            </w:r>
            <w:r>
              <w:rPr>
                <w:rFonts w:hint="eastAsia"/>
                <w:color w:val="auto"/>
                <w:sz w:val="24"/>
                <w:szCs w:val="24"/>
              </w:rPr>
              <w:t>机</w:t>
            </w:r>
            <w:r>
              <w:rPr>
                <w:color w:val="auto"/>
                <w:sz w:val="24"/>
                <w:szCs w:val="24"/>
              </w:rPr>
              <w:t>油</w:t>
            </w:r>
            <w:r>
              <w:rPr>
                <w:rFonts w:hint="eastAsia"/>
                <w:color w:val="auto"/>
                <w:sz w:val="24"/>
                <w:szCs w:val="24"/>
              </w:rPr>
              <w:t>：企业设备维护产生一定</w:t>
            </w:r>
            <w:r>
              <w:rPr>
                <w:color w:val="auto"/>
                <w:sz w:val="24"/>
                <w:szCs w:val="24"/>
              </w:rPr>
              <w:t>废</w:t>
            </w:r>
            <w:r>
              <w:rPr>
                <w:rFonts w:hint="eastAsia"/>
                <w:color w:val="auto"/>
                <w:sz w:val="24"/>
                <w:szCs w:val="24"/>
              </w:rPr>
              <w:t>机</w:t>
            </w:r>
            <w:r>
              <w:rPr>
                <w:color w:val="auto"/>
                <w:sz w:val="24"/>
                <w:szCs w:val="24"/>
              </w:rPr>
              <w:t>油</w:t>
            </w:r>
            <w:r>
              <w:rPr>
                <w:rFonts w:hint="eastAsia"/>
                <w:color w:val="auto"/>
                <w:sz w:val="24"/>
                <w:szCs w:val="24"/>
              </w:rPr>
              <w:t>，产生量约为0.2</w:t>
            </w:r>
            <w:r>
              <w:rPr>
                <w:rFonts w:hint="eastAsia"/>
                <w:color w:val="auto"/>
                <w:kern w:val="0"/>
                <w:sz w:val="24"/>
                <w:szCs w:val="24"/>
              </w:rPr>
              <w:t>t/a。</w:t>
            </w:r>
          </w:p>
          <w:p w14:paraId="1CBC3E37">
            <w:pPr>
              <w:adjustRightInd w:val="0"/>
              <w:snapToGrid w:val="0"/>
              <w:ind w:firstLine="480" w:firstLineChars="200"/>
              <w:rPr>
                <w:color w:val="auto"/>
                <w:kern w:val="0"/>
                <w:sz w:val="24"/>
                <w:szCs w:val="24"/>
              </w:rPr>
            </w:pPr>
            <w:r>
              <w:rPr>
                <w:rFonts w:hint="eastAsia"/>
                <w:color w:val="auto"/>
                <w:kern w:val="0"/>
                <w:sz w:val="24"/>
                <w:szCs w:val="24"/>
              </w:rPr>
              <w:t>（</w:t>
            </w:r>
            <w:r>
              <w:rPr>
                <w:rFonts w:hint="eastAsia"/>
                <w:color w:val="auto"/>
                <w:kern w:val="0"/>
                <w:sz w:val="24"/>
                <w:szCs w:val="24"/>
                <w:lang w:val="en-US" w:eastAsia="zh-CN"/>
              </w:rPr>
              <w:t>7</w:t>
            </w:r>
            <w:r>
              <w:rPr>
                <w:rFonts w:hint="eastAsia"/>
                <w:color w:val="auto"/>
                <w:kern w:val="0"/>
                <w:sz w:val="24"/>
                <w:szCs w:val="24"/>
              </w:rPr>
              <w:t>）废</w:t>
            </w:r>
            <w:r>
              <w:rPr>
                <w:rFonts w:hint="eastAsia"/>
                <w:color w:val="auto"/>
                <w:kern w:val="0"/>
                <w:sz w:val="24"/>
                <w:szCs w:val="24"/>
                <w:lang w:val="en-US" w:eastAsia="zh-CN"/>
              </w:rPr>
              <w:t>油</w:t>
            </w:r>
            <w:r>
              <w:rPr>
                <w:rFonts w:hint="eastAsia"/>
                <w:color w:val="auto"/>
                <w:kern w:val="0"/>
                <w:sz w:val="24"/>
                <w:szCs w:val="24"/>
              </w:rPr>
              <w:t>桶：</w:t>
            </w:r>
            <w:r>
              <w:rPr>
                <w:rFonts w:hint="eastAsia"/>
                <w:color w:val="auto"/>
                <w:sz w:val="24"/>
                <w:szCs w:val="24"/>
              </w:rPr>
              <w:t>企业设备维护产生一定</w:t>
            </w:r>
            <w:r>
              <w:rPr>
                <w:color w:val="auto"/>
                <w:sz w:val="24"/>
                <w:szCs w:val="24"/>
              </w:rPr>
              <w:t>废</w:t>
            </w:r>
            <w:r>
              <w:rPr>
                <w:rFonts w:hint="eastAsia"/>
                <w:color w:val="auto"/>
                <w:sz w:val="24"/>
                <w:szCs w:val="24"/>
                <w:lang w:val="en-US" w:eastAsia="zh-CN"/>
              </w:rPr>
              <w:t>油</w:t>
            </w:r>
            <w:r>
              <w:rPr>
                <w:rFonts w:hint="eastAsia"/>
                <w:color w:val="auto"/>
                <w:kern w:val="0"/>
                <w:sz w:val="24"/>
                <w:szCs w:val="24"/>
              </w:rPr>
              <w:t>桶，</w:t>
            </w:r>
            <w:r>
              <w:rPr>
                <w:rFonts w:hint="eastAsia"/>
                <w:color w:val="auto"/>
                <w:sz w:val="24"/>
                <w:szCs w:val="24"/>
              </w:rPr>
              <w:t>产生量约为0.015</w:t>
            </w:r>
            <w:r>
              <w:rPr>
                <w:rFonts w:hint="eastAsia"/>
                <w:color w:val="auto"/>
                <w:kern w:val="0"/>
                <w:sz w:val="24"/>
                <w:szCs w:val="24"/>
              </w:rPr>
              <w:t>t/a。</w:t>
            </w:r>
          </w:p>
          <w:p w14:paraId="4CA524BA">
            <w:pPr>
              <w:widowControl/>
              <w:adjustRightInd w:val="0"/>
              <w:snapToGrid w:val="0"/>
              <w:ind w:firstLine="480" w:firstLineChars="200"/>
              <w:jc w:val="left"/>
              <w:rPr>
                <w:color w:val="auto"/>
                <w:sz w:val="24"/>
                <w:szCs w:val="24"/>
              </w:rPr>
            </w:pPr>
            <w:r>
              <w:rPr>
                <w:rFonts w:hint="eastAsia"/>
                <w:color w:val="auto"/>
                <w:kern w:val="0"/>
                <w:sz w:val="24"/>
                <w:szCs w:val="24"/>
              </w:rPr>
              <w:t>（</w:t>
            </w:r>
            <w:r>
              <w:rPr>
                <w:rFonts w:hint="eastAsia"/>
                <w:color w:val="auto"/>
                <w:kern w:val="0"/>
                <w:sz w:val="24"/>
                <w:szCs w:val="24"/>
                <w:lang w:val="en-US" w:eastAsia="zh-CN"/>
              </w:rPr>
              <w:t>8</w:t>
            </w:r>
            <w:r>
              <w:rPr>
                <w:rFonts w:hint="eastAsia"/>
                <w:color w:val="auto"/>
                <w:kern w:val="0"/>
                <w:sz w:val="24"/>
                <w:szCs w:val="24"/>
              </w:rPr>
              <w:t>）</w:t>
            </w:r>
            <w:r>
              <w:rPr>
                <w:rFonts w:hint="eastAsia"/>
                <w:color w:val="auto"/>
                <w:kern w:val="0"/>
                <w:sz w:val="24"/>
                <w:szCs w:val="24"/>
                <w:lang w:val="en-US" w:eastAsia="zh-CN"/>
              </w:rPr>
              <w:t>废活性炭</w:t>
            </w:r>
            <w:r>
              <w:rPr>
                <w:rFonts w:hint="eastAsia"/>
                <w:color w:val="auto"/>
                <w:kern w:val="0"/>
                <w:sz w:val="24"/>
                <w:szCs w:val="24"/>
              </w:rPr>
              <w:t>：</w:t>
            </w:r>
            <w:r>
              <w:rPr>
                <w:color w:val="auto"/>
                <w:sz w:val="24"/>
                <w:szCs w:val="24"/>
              </w:rPr>
              <w:t>本项目废气处理装置去除有机废气总量</w:t>
            </w:r>
            <w:r>
              <w:rPr>
                <w:rFonts w:hint="eastAsia"/>
                <w:color w:val="auto"/>
                <w:sz w:val="24"/>
                <w:szCs w:val="24"/>
                <w:lang w:val="en-US" w:eastAsia="zh-CN"/>
              </w:rPr>
              <w:t>2.592</w:t>
            </w:r>
            <w:r>
              <w:rPr>
                <w:color w:val="auto"/>
                <w:sz w:val="24"/>
                <w:szCs w:val="24"/>
              </w:rPr>
              <w:t>t/a。废活性炭的更换周期按《省生态环境厅关于将排污单位活性炭使用更换纳入排污许可管理的通知》中计算公式计算：</w:t>
            </w:r>
          </w:p>
          <w:p w14:paraId="429BAD08">
            <w:pPr>
              <w:adjustRightInd w:val="0"/>
              <w:snapToGrid w:val="0"/>
              <w:ind w:firstLine="480" w:firstLineChars="200"/>
              <w:jc w:val="center"/>
              <w:rPr>
                <w:bCs/>
                <w:color w:val="auto"/>
                <w:kern w:val="0"/>
                <w:sz w:val="24"/>
                <w:szCs w:val="24"/>
              </w:rPr>
            </w:pPr>
            <w:r>
              <w:rPr>
                <w:bCs/>
                <w:color w:val="auto"/>
                <w:kern w:val="0"/>
                <w:sz w:val="24"/>
                <w:szCs w:val="24"/>
              </w:rPr>
              <w:t>T=m×s÷（c×10</w:t>
            </w:r>
            <w:r>
              <w:rPr>
                <w:bCs/>
                <w:color w:val="auto"/>
                <w:kern w:val="0"/>
                <w:sz w:val="24"/>
                <w:szCs w:val="24"/>
                <w:vertAlign w:val="superscript"/>
              </w:rPr>
              <w:t>-6</w:t>
            </w:r>
            <w:r>
              <w:rPr>
                <w:bCs/>
                <w:color w:val="auto"/>
                <w:kern w:val="0"/>
                <w:sz w:val="24"/>
                <w:szCs w:val="24"/>
              </w:rPr>
              <w:t>×Q×t）</w:t>
            </w:r>
          </w:p>
          <w:p w14:paraId="7FCC0722">
            <w:pPr>
              <w:adjustRightInd w:val="0"/>
              <w:snapToGrid w:val="0"/>
              <w:ind w:firstLine="480" w:firstLineChars="200"/>
              <w:jc w:val="left"/>
              <w:rPr>
                <w:bCs/>
                <w:color w:val="auto"/>
                <w:kern w:val="0"/>
                <w:sz w:val="24"/>
                <w:szCs w:val="24"/>
              </w:rPr>
            </w:pPr>
            <w:r>
              <w:rPr>
                <w:bCs/>
                <w:color w:val="auto"/>
                <w:kern w:val="0"/>
                <w:sz w:val="24"/>
                <w:szCs w:val="24"/>
              </w:rPr>
              <w:t>式中：T—更换周期，天；</w:t>
            </w:r>
          </w:p>
          <w:p w14:paraId="2150AEC8">
            <w:pPr>
              <w:adjustRightInd w:val="0"/>
              <w:snapToGrid w:val="0"/>
              <w:ind w:firstLine="480" w:firstLineChars="200"/>
              <w:jc w:val="left"/>
              <w:rPr>
                <w:bCs/>
                <w:color w:val="auto"/>
                <w:kern w:val="0"/>
                <w:sz w:val="24"/>
                <w:szCs w:val="24"/>
              </w:rPr>
            </w:pPr>
            <w:r>
              <w:rPr>
                <w:bCs/>
                <w:color w:val="auto"/>
                <w:kern w:val="0"/>
                <w:sz w:val="24"/>
                <w:szCs w:val="24"/>
              </w:rPr>
              <w:t>m—活性炭的用量，kg；</w:t>
            </w:r>
          </w:p>
          <w:p w14:paraId="1BC2B3C4">
            <w:pPr>
              <w:adjustRightInd w:val="0"/>
              <w:snapToGrid w:val="0"/>
              <w:ind w:firstLine="480" w:firstLineChars="200"/>
              <w:jc w:val="left"/>
              <w:rPr>
                <w:bCs/>
                <w:color w:val="auto"/>
                <w:kern w:val="0"/>
                <w:sz w:val="24"/>
                <w:szCs w:val="24"/>
              </w:rPr>
            </w:pPr>
            <w:r>
              <w:rPr>
                <w:bCs/>
                <w:color w:val="auto"/>
                <w:kern w:val="0"/>
                <w:sz w:val="24"/>
                <w:szCs w:val="24"/>
              </w:rPr>
              <w:t>s—动态吸附量，%；（一般取值10%）</w:t>
            </w:r>
          </w:p>
          <w:p w14:paraId="0AD6D5BA">
            <w:pPr>
              <w:adjustRightInd w:val="0"/>
              <w:snapToGrid w:val="0"/>
              <w:ind w:firstLine="480" w:firstLineChars="200"/>
              <w:jc w:val="left"/>
              <w:rPr>
                <w:bCs/>
                <w:color w:val="auto"/>
                <w:kern w:val="0"/>
                <w:sz w:val="24"/>
                <w:szCs w:val="24"/>
              </w:rPr>
            </w:pPr>
            <w:r>
              <w:rPr>
                <w:bCs/>
                <w:color w:val="auto"/>
                <w:kern w:val="0"/>
                <w:sz w:val="24"/>
                <w:szCs w:val="24"/>
              </w:rPr>
              <w:t>c—活性炭削减的VOCs浓度，mg/m</w:t>
            </w:r>
            <w:r>
              <w:rPr>
                <w:bCs/>
                <w:color w:val="auto"/>
                <w:kern w:val="0"/>
                <w:sz w:val="24"/>
                <w:szCs w:val="24"/>
                <w:vertAlign w:val="superscript"/>
              </w:rPr>
              <w:t>3</w:t>
            </w:r>
            <w:r>
              <w:rPr>
                <w:bCs/>
                <w:color w:val="auto"/>
                <w:kern w:val="0"/>
                <w:sz w:val="24"/>
                <w:szCs w:val="24"/>
              </w:rPr>
              <w:t>；</w:t>
            </w:r>
          </w:p>
          <w:p w14:paraId="60DBBCE8">
            <w:pPr>
              <w:adjustRightInd w:val="0"/>
              <w:snapToGrid w:val="0"/>
              <w:ind w:firstLine="480" w:firstLineChars="200"/>
              <w:jc w:val="left"/>
              <w:rPr>
                <w:bCs/>
                <w:color w:val="auto"/>
                <w:kern w:val="0"/>
                <w:sz w:val="24"/>
                <w:szCs w:val="24"/>
              </w:rPr>
            </w:pPr>
            <w:r>
              <w:rPr>
                <w:bCs/>
                <w:color w:val="auto"/>
                <w:kern w:val="0"/>
                <w:sz w:val="24"/>
                <w:szCs w:val="24"/>
              </w:rPr>
              <w:t>Q—风量，单位m</w:t>
            </w:r>
            <w:r>
              <w:rPr>
                <w:bCs/>
                <w:color w:val="auto"/>
                <w:kern w:val="0"/>
                <w:sz w:val="24"/>
                <w:szCs w:val="24"/>
                <w:vertAlign w:val="superscript"/>
              </w:rPr>
              <w:t>3</w:t>
            </w:r>
            <w:r>
              <w:rPr>
                <w:bCs/>
                <w:color w:val="auto"/>
                <w:kern w:val="0"/>
                <w:sz w:val="24"/>
                <w:szCs w:val="24"/>
              </w:rPr>
              <w:t>/h；</w:t>
            </w:r>
          </w:p>
          <w:p w14:paraId="31C32CDF">
            <w:pPr>
              <w:adjustRightInd w:val="0"/>
              <w:snapToGrid w:val="0"/>
              <w:ind w:firstLine="480" w:firstLineChars="200"/>
              <w:jc w:val="left"/>
              <w:rPr>
                <w:bCs/>
                <w:color w:val="auto"/>
                <w:kern w:val="0"/>
                <w:sz w:val="24"/>
                <w:szCs w:val="24"/>
              </w:rPr>
            </w:pPr>
            <w:r>
              <w:rPr>
                <w:bCs/>
                <w:color w:val="auto"/>
                <w:kern w:val="0"/>
                <w:sz w:val="24"/>
                <w:szCs w:val="24"/>
              </w:rPr>
              <w:t>t—运行时间，单位h/d。</w:t>
            </w:r>
          </w:p>
          <w:p w14:paraId="4FEAEABB">
            <w:pPr>
              <w:adjustRightInd w:val="0"/>
              <w:snapToGrid w:val="0"/>
              <w:ind w:firstLine="480" w:firstLineChars="200"/>
              <w:rPr>
                <w:color w:val="auto"/>
                <w:kern w:val="0"/>
                <w:sz w:val="24"/>
                <w:szCs w:val="24"/>
              </w:rPr>
            </w:pPr>
            <w:r>
              <w:rPr>
                <w:color w:val="auto"/>
                <w:sz w:val="24"/>
                <w:szCs w:val="24"/>
              </w:rPr>
              <w:t>本项目活性炭吸附装置的活性炭更换周期计算结果如下表所示：</w:t>
            </w:r>
          </w:p>
          <w:p w14:paraId="20AF6FD9">
            <w:pPr>
              <w:adjustRightInd w:val="0"/>
              <w:snapToGrid w:val="0"/>
              <w:spacing w:line="240" w:lineRule="auto"/>
              <w:jc w:val="center"/>
              <w:rPr>
                <w:color w:val="auto"/>
                <w:sz w:val="24"/>
                <w:szCs w:val="24"/>
              </w:rPr>
            </w:pPr>
            <w:r>
              <w:rPr>
                <w:color w:val="auto"/>
                <w:sz w:val="24"/>
                <w:szCs w:val="24"/>
              </w:rPr>
              <w:t>表4-</w:t>
            </w:r>
            <w:r>
              <w:rPr>
                <w:rFonts w:hint="eastAsia"/>
                <w:color w:val="auto"/>
                <w:sz w:val="24"/>
                <w:szCs w:val="24"/>
                <w:lang w:val="en-US" w:eastAsia="zh-CN"/>
              </w:rPr>
              <w:t>21</w:t>
            </w:r>
            <w:r>
              <w:rPr>
                <w:color w:val="auto"/>
                <w:sz w:val="24"/>
                <w:szCs w:val="24"/>
              </w:rPr>
              <w:t>活性炭更换周期计算结果</w:t>
            </w:r>
          </w:p>
          <w:tbl>
            <w:tblPr>
              <w:tblStyle w:val="27"/>
              <w:tblW w:w="763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997"/>
              <w:gridCol w:w="682"/>
              <w:gridCol w:w="647"/>
              <w:gridCol w:w="809"/>
              <w:gridCol w:w="764"/>
              <w:gridCol w:w="544"/>
              <w:gridCol w:w="451"/>
              <w:gridCol w:w="994"/>
              <w:gridCol w:w="833"/>
              <w:gridCol w:w="917"/>
            </w:tblGrid>
            <w:tr w14:paraId="3CEDE8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97" w:type="dxa"/>
                  <w:tcBorders>
                    <w:tl2br w:val="nil"/>
                    <w:tr2bl w:val="nil"/>
                  </w:tcBorders>
                  <w:noWrap/>
                  <w:vAlign w:val="center"/>
                </w:tcPr>
                <w:p w14:paraId="2942D233">
                  <w:pPr>
                    <w:adjustRightInd w:val="0"/>
                    <w:snapToGrid w:val="0"/>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对应的排气筒</w:t>
                  </w:r>
                </w:p>
              </w:tc>
              <w:tc>
                <w:tcPr>
                  <w:tcW w:w="682" w:type="dxa"/>
                  <w:tcBorders>
                    <w:tl2br w:val="nil"/>
                    <w:tr2bl w:val="nil"/>
                  </w:tcBorders>
                  <w:noWrap/>
                  <w:vAlign w:val="center"/>
                </w:tcPr>
                <w:p w14:paraId="6093D8B5">
                  <w:pPr>
                    <w:adjustRightInd w:val="0"/>
                    <w:snapToGrid w:val="0"/>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m</w:t>
                  </w:r>
                </w:p>
              </w:tc>
              <w:tc>
                <w:tcPr>
                  <w:tcW w:w="647" w:type="dxa"/>
                  <w:tcBorders>
                    <w:tl2br w:val="nil"/>
                    <w:tr2bl w:val="nil"/>
                  </w:tcBorders>
                  <w:noWrap/>
                  <w:vAlign w:val="center"/>
                </w:tcPr>
                <w:p w14:paraId="19BDE24D">
                  <w:pPr>
                    <w:adjustRightInd w:val="0"/>
                    <w:snapToGrid w:val="0"/>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s</w:t>
                  </w:r>
                </w:p>
              </w:tc>
              <w:tc>
                <w:tcPr>
                  <w:tcW w:w="809" w:type="dxa"/>
                  <w:tcBorders>
                    <w:tl2br w:val="nil"/>
                    <w:tr2bl w:val="nil"/>
                  </w:tcBorders>
                  <w:noWrap/>
                  <w:vAlign w:val="center"/>
                </w:tcPr>
                <w:p w14:paraId="2ECE64DD">
                  <w:pPr>
                    <w:adjustRightInd w:val="0"/>
                    <w:snapToGrid w:val="0"/>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c</w:t>
                  </w:r>
                </w:p>
              </w:tc>
              <w:tc>
                <w:tcPr>
                  <w:tcW w:w="764" w:type="dxa"/>
                  <w:tcBorders>
                    <w:tl2br w:val="nil"/>
                    <w:tr2bl w:val="nil"/>
                  </w:tcBorders>
                  <w:noWrap/>
                  <w:vAlign w:val="center"/>
                </w:tcPr>
                <w:p w14:paraId="18027942">
                  <w:pPr>
                    <w:adjustRightInd w:val="0"/>
                    <w:snapToGrid w:val="0"/>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Q</w:t>
                  </w:r>
                </w:p>
              </w:tc>
              <w:tc>
                <w:tcPr>
                  <w:tcW w:w="544" w:type="dxa"/>
                  <w:tcBorders>
                    <w:tl2br w:val="nil"/>
                    <w:tr2bl w:val="nil"/>
                  </w:tcBorders>
                  <w:noWrap/>
                  <w:vAlign w:val="center"/>
                </w:tcPr>
                <w:p w14:paraId="49939AEF">
                  <w:pPr>
                    <w:adjustRightInd w:val="0"/>
                    <w:snapToGrid w:val="0"/>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t</w:t>
                  </w:r>
                </w:p>
              </w:tc>
              <w:tc>
                <w:tcPr>
                  <w:tcW w:w="451" w:type="dxa"/>
                  <w:tcBorders>
                    <w:tl2br w:val="nil"/>
                    <w:tr2bl w:val="nil"/>
                  </w:tcBorders>
                  <w:noWrap/>
                  <w:vAlign w:val="center"/>
                </w:tcPr>
                <w:p w14:paraId="76AF3E13">
                  <w:pPr>
                    <w:adjustRightInd w:val="0"/>
                    <w:snapToGrid w:val="0"/>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T</w:t>
                  </w:r>
                </w:p>
              </w:tc>
              <w:tc>
                <w:tcPr>
                  <w:tcW w:w="994" w:type="dxa"/>
                  <w:tcBorders>
                    <w:tl2br w:val="nil"/>
                    <w:tr2bl w:val="nil"/>
                  </w:tcBorders>
                  <w:noWrap/>
                  <w:vAlign w:val="center"/>
                </w:tcPr>
                <w:p w14:paraId="60238477">
                  <w:pPr>
                    <w:adjustRightInd w:val="0"/>
                    <w:snapToGrid w:val="0"/>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更换活性炭量</w:t>
                  </w:r>
                </w:p>
              </w:tc>
              <w:tc>
                <w:tcPr>
                  <w:tcW w:w="833" w:type="dxa"/>
                  <w:tcBorders>
                    <w:tl2br w:val="nil"/>
                    <w:tr2bl w:val="nil"/>
                  </w:tcBorders>
                  <w:noWrap/>
                  <w:vAlign w:val="center"/>
                </w:tcPr>
                <w:p w14:paraId="56D2804E">
                  <w:pPr>
                    <w:adjustRightInd w:val="0"/>
                    <w:snapToGrid w:val="0"/>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收集的废气量</w:t>
                  </w:r>
                </w:p>
              </w:tc>
              <w:tc>
                <w:tcPr>
                  <w:tcW w:w="917" w:type="dxa"/>
                  <w:tcBorders>
                    <w:tl2br w:val="nil"/>
                    <w:tr2bl w:val="nil"/>
                  </w:tcBorders>
                  <w:noWrap/>
                  <w:vAlign w:val="center"/>
                </w:tcPr>
                <w:p w14:paraId="23092814">
                  <w:pPr>
                    <w:adjustRightInd w:val="0"/>
                    <w:snapToGrid w:val="0"/>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废活性炭量</w:t>
                  </w:r>
                </w:p>
              </w:tc>
            </w:tr>
            <w:tr w14:paraId="5325F4C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97" w:type="dxa"/>
                  <w:tcBorders>
                    <w:tl2br w:val="nil"/>
                    <w:tr2bl w:val="nil"/>
                  </w:tcBorders>
                  <w:noWrap/>
                  <w:vAlign w:val="center"/>
                </w:tcPr>
                <w:p w14:paraId="2AED5A58">
                  <w:pPr>
                    <w:widowControl/>
                    <w:adjustRightInd w:val="0"/>
                    <w:snapToGrid w:val="0"/>
                    <w:spacing w:line="240" w:lineRule="auto"/>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单位</w:t>
                  </w:r>
                </w:p>
              </w:tc>
              <w:tc>
                <w:tcPr>
                  <w:tcW w:w="682" w:type="dxa"/>
                  <w:tcBorders>
                    <w:tl2br w:val="nil"/>
                    <w:tr2bl w:val="nil"/>
                  </w:tcBorders>
                  <w:noWrap/>
                  <w:vAlign w:val="center"/>
                </w:tcPr>
                <w:p w14:paraId="0DD48244">
                  <w:pPr>
                    <w:widowControl/>
                    <w:adjustRightInd w:val="0"/>
                    <w:snapToGrid w:val="0"/>
                    <w:spacing w:line="240" w:lineRule="auto"/>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Kg</w:t>
                  </w:r>
                </w:p>
              </w:tc>
              <w:tc>
                <w:tcPr>
                  <w:tcW w:w="647" w:type="dxa"/>
                  <w:tcBorders>
                    <w:tl2br w:val="nil"/>
                    <w:tr2bl w:val="nil"/>
                  </w:tcBorders>
                  <w:noWrap/>
                  <w:vAlign w:val="center"/>
                </w:tcPr>
                <w:p w14:paraId="27919756">
                  <w:pPr>
                    <w:widowControl/>
                    <w:adjustRightInd w:val="0"/>
                    <w:snapToGrid w:val="0"/>
                    <w:spacing w:line="240" w:lineRule="auto"/>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w:t>
                  </w:r>
                </w:p>
              </w:tc>
              <w:tc>
                <w:tcPr>
                  <w:tcW w:w="809" w:type="dxa"/>
                  <w:tcBorders>
                    <w:tl2br w:val="nil"/>
                    <w:tr2bl w:val="nil"/>
                  </w:tcBorders>
                  <w:noWrap/>
                  <w:vAlign w:val="center"/>
                </w:tcPr>
                <w:p w14:paraId="7C5B0199">
                  <w:pPr>
                    <w:widowControl/>
                    <w:adjustRightInd w:val="0"/>
                    <w:snapToGrid w:val="0"/>
                    <w:spacing w:line="240" w:lineRule="auto"/>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mg/m</w:t>
                  </w:r>
                  <w:r>
                    <w:rPr>
                      <w:rFonts w:hint="default" w:ascii="Times New Roman" w:hAnsi="Times New Roman" w:eastAsia="宋体" w:cs="Times New Roman"/>
                      <w:color w:val="auto"/>
                      <w:sz w:val="21"/>
                      <w:szCs w:val="21"/>
                      <w:vertAlign w:val="superscript"/>
                    </w:rPr>
                    <w:t>3</w:t>
                  </w:r>
                </w:p>
              </w:tc>
              <w:tc>
                <w:tcPr>
                  <w:tcW w:w="764" w:type="dxa"/>
                  <w:tcBorders>
                    <w:tl2br w:val="nil"/>
                    <w:tr2bl w:val="nil"/>
                  </w:tcBorders>
                  <w:noWrap/>
                  <w:vAlign w:val="center"/>
                </w:tcPr>
                <w:p w14:paraId="193FB5A2">
                  <w:pPr>
                    <w:widowControl/>
                    <w:adjustRightInd w:val="0"/>
                    <w:snapToGrid w:val="0"/>
                    <w:spacing w:line="240" w:lineRule="auto"/>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/h</w:t>
                  </w:r>
                </w:p>
              </w:tc>
              <w:tc>
                <w:tcPr>
                  <w:tcW w:w="544" w:type="dxa"/>
                  <w:tcBorders>
                    <w:tl2br w:val="nil"/>
                    <w:tr2bl w:val="nil"/>
                  </w:tcBorders>
                  <w:noWrap/>
                  <w:vAlign w:val="center"/>
                </w:tcPr>
                <w:p w14:paraId="062A9B00">
                  <w:pPr>
                    <w:widowControl/>
                    <w:adjustRightInd w:val="0"/>
                    <w:snapToGrid w:val="0"/>
                    <w:spacing w:line="240" w:lineRule="auto"/>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rPr>
                    <w:t>h/d</w:t>
                  </w:r>
                </w:p>
              </w:tc>
              <w:tc>
                <w:tcPr>
                  <w:tcW w:w="451" w:type="dxa"/>
                  <w:tcBorders>
                    <w:tl2br w:val="nil"/>
                    <w:tr2bl w:val="nil"/>
                  </w:tcBorders>
                  <w:noWrap/>
                  <w:vAlign w:val="center"/>
                </w:tcPr>
                <w:p w14:paraId="03942F59">
                  <w:pPr>
                    <w:adjustRightInd w:val="0"/>
                    <w:snapToGrid w:val="0"/>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d</w:t>
                  </w:r>
                </w:p>
              </w:tc>
              <w:tc>
                <w:tcPr>
                  <w:tcW w:w="994" w:type="dxa"/>
                  <w:tcBorders>
                    <w:tl2br w:val="nil"/>
                    <w:tr2bl w:val="nil"/>
                  </w:tcBorders>
                  <w:noWrap/>
                  <w:vAlign w:val="center"/>
                </w:tcPr>
                <w:p w14:paraId="10C8AEEC">
                  <w:pPr>
                    <w:adjustRightInd w:val="0"/>
                    <w:snapToGrid w:val="0"/>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t/a</w:t>
                  </w:r>
                </w:p>
              </w:tc>
              <w:tc>
                <w:tcPr>
                  <w:tcW w:w="833" w:type="dxa"/>
                  <w:tcBorders>
                    <w:tl2br w:val="nil"/>
                    <w:tr2bl w:val="nil"/>
                  </w:tcBorders>
                  <w:noWrap/>
                  <w:vAlign w:val="center"/>
                </w:tcPr>
                <w:p w14:paraId="23BC4BF0">
                  <w:pPr>
                    <w:adjustRightInd w:val="0"/>
                    <w:snapToGrid w:val="0"/>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t/a</w:t>
                  </w:r>
                </w:p>
              </w:tc>
              <w:tc>
                <w:tcPr>
                  <w:tcW w:w="917" w:type="dxa"/>
                  <w:tcBorders>
                    <w:tl2br w:val="nil"/>
                    <w:tr2bl w:val="nil"/>
                  </w:tcBorders>
                  <w:noWrap/>
                  <w:vAlign w:val="center"/>
                </w:tcPr>
                <w:p w14:paraId="14447C93">
                  <w:pPr>
                    <w:adjustRightInd w:val="0"/>
                    <w:snapToGrid w:val="0"/>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t/a</w:t>
                  </w:r>
                </w:p>
              </w:tc>
            </w:tr>
            <w:tr w14:paraId="6B1EE3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997" w:type="dxa"/>
                  <w:tcBorders>
                    <w:tl2br w:val="nil"/>
                    <w:tr2bl w:val="nil"/>
                  </w:tcBorders>
                  <w:noWrap/>
                  <w:vAlign w:val="center"/>
                </w:tcPr>
                <w:p w14:paraId="78DED13A">
                  <w:pPr>
                    <w:widowControl/>
                    <w:adjustRightInd w:val="0"/>
                    <w:snapToGrid w:val="0"/>
                    <w:spacing w:line="240" w:lineRule="auto"/>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FQ-1排气筒</w:t>
                  </w:r>
                </w:p>
              </w:tc>
              <w:tc>
                <w:tcPr>
                  <w:tcW w:w="682" w:type="dxa"/>
                  <w:tcBorders>
                    <w:tl2br w:val="nil"/>
                    <w:tr2bl w:val="nil"/>
                  </w:tcBorders>
                  <w:noWrap/>
                  <w:vAlign w:val="center"/>
                </w:tcPr>
                <w:p w14:paraId="2BCB3C6E">
                  <w:pPr>
                    <w:widowControl/>
                    <w:adjustRightInd w:val="0"/>
                    <w:snapToGrid w:val="0"/>
                    <w:spacing w:line="240" w:lineRule="auto"/>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3200</w:t>
                  </w:r>
                </w:p>
              </w:tc>
              <w:tc>
                <w:tcPr>
                  <w:tcW w:w="647" w:type="dxa"/>
                  <w:tcBorders>
                    <w:tl2br w:val="nil"/>
                    <w:tr2bl w:val="nil"/>
                  </w:tcBorders>
                  <w:noWrap/>
                  <w:vAlign w:val="center"/>
                </w:tcPr>
                <w:p w14:paraId="0464D477">
                  <w:pPr>
                    <w:widowControl/>
                    <w:adjustRightInd w:val="0"/>
                    <w:snapToGrid w:val="0"/>
                    <w:spacing w:line="240" w:lineRule="auto"/>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10</w:t>
                  </w:r>
                </w:p>
              </w:tc>
              <w:tc>
                <w:tcPr>
                  <w:tcW w:w="809" w:type="dxa"/>
                  <w:tcBorders>
                    <w:tl2br w:val="nil"/>
                    <w:tr2bl w:val="nil"/>
                  </w:tcBorders>
                  <w:noWrap/>
                  <w:vAlign w:val="center"/>
                </w:tcPr>
                <w:p w14:paraId="548D1C30">
                  <w:pPr>
                    <w:widowControl/>
                    <w:adjustRightInd w:val="0"/>
                    <w:snapToGrid w:val="0"/>
                    <w:spacing w:line="240" w:lineRule="auto"/>
                    <w:jc w:val="center"/>
                    <w:textAlignment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108</w:t>
                  </w:r>
                </w:p>
              </w:tc>
              <w:tc>
                <w:tcPr>
                  <w:tcW w:w="764" w:type="dxa"/>
                  <w:tcBorders>
                    <w:tl2br w:val="nil"/>
                    <w:tr2bl w:val="nil"/>
                  </w:tcBorders>
                  <w:noWrap/>
                  <w:vAlign w:val="center"/>
                </w:tcPr>
                <w:p w14:paraId="2DE7D39F">
                  <w:pPr>
                    <w:widowControl/>
                    <w:adjustRightInd w:val="0"/>
                    <w:snapToGrid w:val="0"/>
                    <w:spacing w:line="240" w:lineRule="auto"/>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10000</w:t>
                  </w:r>
                </w:p>
              </w:tc>
              <w:tc>
                <w:tcPr>
                  <w:tcW w:w="544" w:type="dxa"/>
                  <w:tcBorders>
                    <w:tl2br w:val="nil"/>
                    <w:tr2bl w:val="nil"/>
                  </w:tcBorders>
                  <w:noWrap/>
                  <w:vAlign w:val="center"/>
                </w:tcPr>
                <w:p w14:paraId="64F1F5A0">
                  <w:pPr>
                    <w:widowControl/>
                    <w:adjustRightInd w:val="0"/>
                    <w:snapToGrid w:val="0"/>
                    <w:spacing w:line="240" w:lineRule="auto"/>
                    <w:jc w:val="center"/>
                    <w:textAlignment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8</w:t>
                  </w:r>
                </w:p>
              </w:tc>
              <w:tc>
                <w:tcPr>
                  <w:tcW w:w="451" w:type="dxa"/>
                  <w:tcBorders>
                    <w:tl2br w:val="nil"/>
                    <w:tr2bl w:val="nil"/>
                  </w:tcBorders>
                  <w:noWrap/>
                  <w:vAlign w:val="center"/>
                </w:tcPr>
                <w:p w14:paraId="38B8BD83">
                  <w:pPr>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37</w:t>
                  </w:r>
                </w:p>
              </w:tc>
              <w:tc>
                <w:tcPr>
                  <w:tcW w:w="994" w:type="dxa"/>
                  <w:tcBorders>
                    <w:tl2br w:val="nil"/>
                    <w:tr2bl w:val="nil"/>
                  </w:tcBorders>
                  <w:noWrap/>
                  <w:vAlign w:val="center"/>
                </w:tcPr>
                <w:p w14:paraId="2939FDD0">
                  <w:pPr>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28.8</w:t>
                  </w:r>
                </w:p>
              </w:tc>
              <w:tc>
                <w:tcPr>
                  <w:tcW w:w="833" w:type="dxa"/>
                  <w:tcBorders>
                    <w:tl2br w:val="nil"/>
                    <w:tr2bl w:val="nil"/>
                  </w:tcBorders>
                  <w:noWrap/>
                  <w:vAlign w:val="center"/>
                </w:tcPr>
                <w:p w14:paraId="531D7BBB">
                  <w:pPr>
                    <w:adjustRightInd w:val="0"/>
                    <w:snapToGrid w:val="0"/>
                    <w:spacing w:line="240" w:lineRule="auto"/>
                    <w:jc w:val="center"/>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sz w:val="21"/>
                      <w:szCs w:val="21"/>
                      <w:lang w:val="en-US" w:eastAsia="zh-CN"/>
                    </w:rPr>
                    <w:t>2.592</w:t>
                  </w:r>
                </w:p>
              </w:tc>
              <w:tc>
                <w:tcPr>
                  <w:tcW w:w="917" w:type="dxa"/>
                  <w:tcBorders>
                    <w:tl2br w:val="nil"/>
                    <w:tr2bl w:val="nil"/>
                  </w:tcBorders>
                  <w:noWrap/>
                  <w:vAlign w:val="center"/>
                </w:tcPr>
                <w:p w14:paraId="1EF40967">
                  <w:pPr>
                    <w:adjustRightInd w:val="0"/>
                    <w:snapToGrid w:val="0"/>
                    <w:spacing w:line="240" w:lineRule="auto"/>
                    <w:jc w:val="center"/>
                    <w:rPr>
                      <w:rFonts w:hint="default" w:ascii="Times New Roman" w:hAnsi="Times New Roman" w:eastAsia="宋体" w:cs="Times New Roman"/>
                      <w:color w:val="auto"/>
                      <w:kern w:val="0"/>
                      <w:sz w:val="21"/>
                      <w:szCs w:val="21"/>
                      <w:lang w:val="en-US" w:eastAsia="zh-CN"/>
                    </w:rPr>
                  </w:pPr>
                  <w:r>
                    <w:rPr>
                      <w:rFonts w:hint="eastAsia" w:ascii="Times New Roman" w:hAnsi="Times New Roman" w:eastAsia="宋体" w:cs="Times New Roman"/>
                      <w:color w:val="auto"/>
                      <w:kern w:val="0"/>
                      <w:sz w:val="21"/>
                      <w:szCs w:val="21"/>
                      <w:lang w:val="en-US" w:eastAsia="zh-CN"/>
                    </w:rPr>
                    <w:t>31.392</w:t>
                  </w:r>
                </w:p>
              </w:tc>
            </w:tr>
          </w:tbl>
          <w:p w14:paraId="5DF21D0C">
            <w:pPr>
              <w:widowControl/>
              <w:adjustRightInd w:val="0"/>
              <w:snapToGrid w:val="0"/>
              <w:ind w:firstLine="480" w:firstLineChars="200"/>
              <w:jc w:val="left"/>
              <w:rPr>
                <w:color w:val="auto"/>
                <w:sz w:val="24"/>
                <w:szCs w:val="24"/>
              </w:rPr>
            </w:pPr>
            <w:r>
              <w:rPr>
                <w:rFonts w:hint="eastAsia"/>
                <w:color w:val="auto"/>
                <w:kern w:val="0"/>
                <w:sz w:val="24"/>
                <w:szCs w:val="24"/>
              </w:rPr>
              <w:t>（</w:t>
            </w:r>
            <w:r>
              <w:rPr>
                <w:rFonts w:hint="eastAsia"/>
                <w:color w:val="auto"/>
                <w:kern w:val="0"/>
                <w:sz w:val="24"/>
                <w:szCs w:val="24"/>
                <w:lang w:val="en-US" w:eastAsia="zh-CN"/>
              </w:rPr>
              <w:t>9</w:t>
            </w:r>
            <w:r>
              <w:rPr>
                <w:rFonts w:hint="eastAsia"/>
                <w:color w:val="auto"/>
                <w:kern w:val="0"/>
                <w:sz w:val="24"/>
                <w:szCs w:val="24"/>
              </w:rPr>
              <w:t>）</w:t>
            </w:r>
            <w:r>
              <w:rPr>
                <w:color w:val="auto"/>
                <w:sz w:val="24"/>
                <w:szCs w:val="24"/>
              </w:rPr>
              <w:t>生活垃圾：员工办公生活产生。根据《第一次全国污染源普查城镇生活源产排污系数手册》（2008年3月）的</w:t>
            </w:r>
            <w:r>
              <w:rPr>
                <w:rFonts w:hint="eastAsia"/>
                <w:color w:val="auto"/>
                <w:sz w:val="24"/>
                <w:szCs w:val="24"/>
              </w:rPr>
              <w:t>“</w:t>
            </w:r>
            <w:r>
              <w:rPr>
                <w:color w:val="auto"/>
                <w:sz w:val="24"/>
                <w:szCs w:val="24"/>
              </w:rPr>
              <w:t>第一部分城镇居民生活污水、生活垃圾</w:t>
            </w:r>
            <w:r>
              <w:rPr>
                <w:rFonts w:hint="eastAsia"/>
                <w:color w:val="auto"/>
                <w:sz w:val="24"/>
                <w:szCs w:val="24"/>
              </w:rPr>
              <w:t>”</w:t>
            </w:r>
            <w:r>
              <w:rPr>
                <w:color w:val="auto"/>
                <w:sz w:val="24"/>
                <w:szCs w:val="24"/>
              </w:rPr>
              <w:t>表1相关系数，本项目属于二区一类，生活垃圾产生量为0.68kg/人·天，本项目劳动定员</w:t>
            </w:r>
            <w:r>
              <w:rPr>
                <w:rFonts w:hint="eastAsia"/>
                <w:color w:val="auto"/>
                <w:sz w:val="24"/>
                <w:szCs w:val="24"/>
              </w:rPr>
              <w:t>10</w:t>
            </w:r>
            <w:r>
              <w:rPr>
                <w:color w:val="auto"/>
                <w:sz w:val="24"/>
                <w:szCs w:val="24"/>
              </w:rPr>
              <w:t>人，则生活垃圾产生量为</w:t>
            </w:r>
            <w:r>
              <w:rPr>
                <w:rFonts w:hint="eastAsia"/>
                <w:color w:val="auto"/>
                <w:sz w:val="24"/>
                <w:szCs w:val="24"/>
              </w:rPr>
              <w:t>2.04</w:t>
            </w:r>
            <w:r>
              <w:rPr>
                <w:color w:val="auto"/>
                <w:sz w:val="24"/>
                <w:szCs w:val="24"/>
              </w:rPr>
              <w:t>t/a，定期由环卫部门清运。</w:t>
            </w:r>
          </w:p>
          <w:p w14:paraId="349BAD30">
            <w:pPr>
              <w:pStyle w:val="13"/>
              <w:adjustRightInd w:val="0"/>
              <w:snapToGrid w:val="0"/>
              <w:spacing w:after="0"/>
              <w:ind w:left="0" w:leftChars="0" w:right="0" w:rightChars="0"/>
              <w:rPr>
                <w:b/>
                <w:bCs/>
                <w:color w:val="auto"/>
                <w:sz w:val="24"/>
                <w:szCs w:val="24"/>
              </w:rPr>
            </w:pPr>
            <w:r>
              <w:rPr>
                <w:b/>
                <w:bCs/>
                <w:color w:val="auto"/>
                <w:sz w:val="24"/>
                <w:szCs w:val="24"/>
              </w:rPr>
              <w:t>4.2</w:t>
            </w:r>
            <w:r>
              <w:rPr>
                <w:rFonts w:hint="eastAsia"/>
                <w:b/>
                <w:bCs/>
                <w:color w:val="auto"/>
                <w:sz w:val="24"/>
                <w:szCs w:val="24"/>
              </w:rPr>
              <w:t>一般工业固体废物暂存</w:t>
            </w:r>
            <w:r>
              <w:rPr>
                <w:b/>
                <w:bCs/>
                <w:color w:val="auto"/>
                <w:sz w:val="24"/>
                <w:szCs w:val="24"/>
              </w:rPr>
              <w:t>污染防治措施</w:t>
            </w:r>
            <w:r>
              <w:rPr>
                <w:rFonts w:hint="eastAsia"/>
                <w:b/>
                <w:bCs/>
                <w:color w:val="auto"/>
                <w:sz w:val="24"/>
                <w:szCs w:val="24"/>
              </w:rPr>
              <w:t>及</w:t>
            </w:r>
            <w:r>
              <w:rPr>
                <w:b/>
                <w:bCs/>
                <w:color w:val="auto"/>
                <w:sz w:val="24"/>
                <w:szCs w:val="24"/>
              </w:rPr>
              <w:t>环境影响分析</w:t>
            </w:r>
          </w:p>
          <w:p w14:paraId="534FD238">
            <w:pPr>
              <w:pStyle w:val="44"/>
              <w:adjustRightInd w:val="0"/>
              <w:snapToGrid w:val="0"/>
              <w:ind w:firstLine="480"/>
              <w:rPr>
                <w:color w:val="auto"/>
                <w:sz w:val="24"/>
                <w:szCs w:val="24"/>
              </w:rPr>
            </w:pPr>
            <w:r>
              <w:rPr>
                <w:rFonts w:hint="eastAsia"/>
                <w:color w:val="auto"/>
                <w:sz w:val="24"/>
                <w:szCs w:val="24"/>
              </w:rPr>
              <w:t>本项目</w:t>
            </w:r>
            <w:r>
              <w:rPr>
                <w:color w:val="auto"/>
                <w:sz w:val="24"/>
                <w:szCs w:val="24"/>
              </w:rPr>
              <w:t>一般工业固废</w:t>
            </w:r>
            <w:r>
              <w:rPr>
                <w:rFonts w:hint="eastAsia"/>
                <w:color w:val="auto"/>
                <w:sz w:val="24"/>
                <w:szCs w:val="24"/>
              </w:rPr>
              <w:t>不存在室外、露天堆放情形，均采用适当的包装容器密封后车间内指定区域暂存。车间为密闭设计，仅开启门窗进行通风，</w:t>
            </w:r>
            <w:r>
              <w:rPr>
                <w:color w:val="auto"/>
                <w:sz w:val="24"/>
                <w:szCs w:val="24"/>
              </w:rPr>
              <w:t>地面进行了硬化</w:t>
            </w:r>
            <w:r>
              <w:rPr>
                <w:rFonts w:hint="eastAsia"/>
                <w:color w:val="auto"/>
                <w:sz w:val="24"/>
                <w:szCs w:val="24"/>
              </w:rPr>
              <w:t>处理</w:t>
            </w:r>
            <w:r>
              <w:rPr>
                <w:color w:val="auto"/>
                <w:sz w:val="24"/>
                <w:szCs w:val="24"/>
              </w:rPr>
              <w:t>，</w:t>
            </w:r>
            <w:r>
              <w:rPr>
                <w:rFonts w:hint="eastAsia"/>
                <w:color w:val="auto"/>
                <w:sz w:val="24"/>
                <w:szCs w:val="24"/>
              </w:rPr>
              <w:t>具备</w:t>
            </w:r>
            <w:r>
              <w:rPr>
                <w:color w:val="auto"/>
                <w:sz w:val="24"/>
                <w:szCs w:val="24"/>
              </w:rPr>
              <w:t>防腐、防渗和防漏</w:t>
            </w:r>
            <w:r>
              <w:rPr>
                <w:rFonts w:hint="eastAsia"/>
                <w:color w:val="auto"/>
                <w:sz w:val="24"/>
                <w:szCs w:val="24"/>
              </w:rPr>
              <w:t>能力，故本项目一般工业固体废物堆放满足相应防渗漏、防雨淋、防扬尘等环境保护要求。此外，企业</w:t>
            </w:r>
            <w:r>
              <w:rPr>
                <w:color w:val="auto"/>
                <w:sz w:val="24"/>
                <w:szCs w:val="24"/>
              </w:rPr>
              <w:t>制定了“一般固废仓库管理制度”、“一般工业固废处置管理规定”，由专人</w:t>
            </w:r>
            <w:r>
              <w:rPr>
                <w:rFonts w:hint="eastAsia"/>
                <w:color w:val="auto"/>
                <w:sz w:val="24"/>
                <w:szCs w:val="24"/>
              </w:rPr>
              <w:t>记录台账，各类一般工业固体废物</w:t>
            </w:r>
            <w:r>
              <w:rPr>
                <w:color w:val="auto"/>
                <w:sz w:val="24"/>
                <w:szCs w:val="24"/>
              </w:rPr>
              <w:t>分类收集贮存</w:t>
            </w:r>
            <w:r>
              <w:rPr>
                <w:rFonts w:hint="eastAsia"/>
                <w:color w:val="auto"/>
                <w:sz w:val="24"/>
                <w:szCs w:val="24"/>
              </w:rPr>
              <w:t>。因此本</w:t>
            </w:r>
            <w:r>
              <w:rPr>
                <w:color w:val="auto"/>
                <w:sz w:val="24"/>
                <w:szCs w:val="24"/>
              </w:rPr>
              <w:t>项目一般工业固废的收集、贮存对环境的影响较小。</w:t>
            </w:r>
          </w:p>
          <w:p w14:paraId="384088A2">
            <w:pPr>
              <w:pStyle w:val="44"/>
              <w:adjustRightInd w:val="0"/>
              <w:snapToGrid w:val="0"/>
              <w:ind w:firstLine="0" w:firstLineChars="0"/>
              <w:rPr>
                <w:b/>
                <w:bCs/>
                <w:color w:val="auto"/>
                <w:sz w:val="24"/>
                <w:szCs w:val="24"/>
              </w:rPr>
            </w:pPr>
            <w:r>
              <w:rPr>
                <w:b/>
                <w:bCs/>
                <w:color w:val="auto"/>
                <w:sz w:val="24"/>
                <w:szCs w:val="24"/>
              </w:rPr>
              <w:t>4.3危险废物收集处置环境影响分析</w:t>
            </w:r>
          </w:p>
          <w:p w14:paraId="1EC683F9">
            <w:pPr>
              <w:widowControl/>
              <w:adjustRightInd w:val="0"/>
              <w:snapToGrid w:val="0"/>
              <w:ind w:firstLine="480" w:firstLineChars="200"/>
              <w:jc w:val="left"/>
              <w:rPr>
                <w:color w:val="auto"/>
                <w:sz w:val="24"/>
                <w:szCs w:val="24"/>
              </w:rPr>
            </w:pPr>
            <w:r>
              <w:rPr>
                <w:color w:val="auto"/>
                <w:sz w:val="24"/>
                <w:szCs w:val="24"/>
              </w:rPr>
              <w:t>根据《建设项目危险废物环境影响评价指南》，危险废物收集、贮存、运输、利用、处置环节采取的污染防治措施见表4</w:t>
            </w:r>
            <w:r>
              <w:rPr>
                <w:rFonts w:hint="eastAsia"/>
                <w:color w:val="auto"/>
                <w:sz w:val="24"/>
                <w:szCs w:val="24"/>
              </w:rPr>
              <w:t>-2</w:t>
            </w:r>
            <w:r>
              <w:rPr>
                <w:rFonts w:hint="eastAsia"/>
                <w:color w:val="auto"/>
                <w:sz w:val="24"/>
                <w:szCs w:val="24"/>
                <w:lang w:val="en-US" w:eastAsia="zh-CN"/>
              </w:rPr>
              <w:t>4</w:t>
            </w:r>
            <w:r>
              <w:rPr>
                <w:color w:val="auto"/>
                <w:sz w:val="24"/>
                <w:szCs w:val="24"/>
              </w:rPr>
              <w:t>。</w:t>
            </w:r>
          </w:p>
          <w:p w14:paraId="7040B89C">
            <w:pPr>
              <w:adjustRightInd w:val="0"/>
              <w:snapToGrid w:val="0"/>
              <w:spacing w:line="500" w:lineRule="exact"/>
              <w:ind w:firstLine="480" w:firstLineChars="200"/>
              <w:rPr>
                <w:bCs/>
                <w:color w:val="auto"/>
                <w:sz w:val="24"/>
              </w:rPr>
            </w:pPr>
            <w:r>
              <w:rPr>
                <w:color w:val="auto"/>
                <w:kern w:val="0"/>
                <w:sz w:val="24"/>
                <w:szCs w:val="24"/>
              </w:rPr>
              <w:t>本项目危废最大存在量为</w:t>
            </w:r>
            <w:r>
              <w:rPr>
                <w:rFonts w:hint="eastAsia"/>
                <w:color w:val="auto"/>
                <w:kern w:val="0"/>
                <w:sz w:val="24"/>
                <w:szCs w:val="24"/>
                <w:lang w:val="en-US" w:eastAsia="zh-CN"/>
              </w:rPr>
              <w:t>6.98</w:t>
            </w:r>
            <w:r>
              <w:rPr>
                <w:color w:val="auto"/>
                <w:kern w:val="0"/>
                <w:sz w:val="24"/>
                <w:szCs w:val="24"/>
              </w:rPr>
              <w:t>t，设置10</w:t>
            </w:r>
            <w:r>
              <w:rPr>
                <w:color w:val="auto"/>
                <w:sz w:val="24"/>
                <w:szCs w:val="24"/>
              </w:rPr>
              <w:t>m</w:t>
            </w:r>
            <w:r>
              <w:rPr>
                <w:color w:val="auto"/>
                <w:sz w:val="24"/>
                <w:szCs w:val="24"/>
                <w:vertAlign w:val="superscript"/>
              </w:rPr>
              <w:t>2</w:t>
            </w:r>
            <w:r>
              <w:rPr>
                <w:rFonts w:hint="eastAsia"/>
                <w:bCs/>
                <w:color w:val="auto"/>
                <w:sz w:val="24"/>
              </w:rPr>
              <w:t>的危废仓库可以满足</w:t>
            </w:r>
            <w:r>
              <w:rPr>
                <w:bCs/>
                <w:color w:val="auto"/>
                <w:sz w:val="24"/>
              </w:rPr>
              <w:t>拟建项目危废仓库需要。为保证临时危险废物储存中心内暂存的危险废物不对环境产生污染，</w:t>
            </w:r>
            <w:r>
              <w:rPr>
                <w:color w:val="auto"/>
                <w:sz w:val="24"/>
              </w:rPr>
              <w:t>根据</w:t>
            </w:r>
            <w:r>
              <w:rPr>
                <w:rFonts w:hint="eastAsia"/>
                <w:color w:val="auto"/>
                <w:sz w:val="24"/>
              </w:rPr>
              <w:t>《环境保护图形标志 固体废物贮存（处置）场》（GB15562.2-1995）、《省生态环境厅关于做好〈危险废物贮存污染控制标准〉等标准规范实施后危险废物环境管理衔接工作的通知》（苏环办[2023]154号）、《省生态环境厅关于做好江苏省危险废物全生命周期监控系统上线运行工作的通知》（苏环办[2020]401号）、《危险废物识别标志设置技术规范》（HJ1276-2022）</w:t>
            </w:r>
            <w:r>
              <w:rPr>
                <w:color w:val="auto"/>
                <w:sz w:val="24"/>
              </w:rPr>
              <w:t>中对“危险废物识别标志的制作”相关要求，规范设置危险废物标签、危险废物贮存分区标志、危险废物贮存设施标志。</w:t>
            </w:r>
            <w:r>
              <w:rPr>
                <w:bCs/>
                <w:color w:val="auto"/>
                <w:sz w:val="24"/>
              </w:rPr>
              <w:t>配备通讯设备、照明设施和消防设施；在出入口、设施内部、危险废物运输车辆通道等位置按照危险废物贮存设施视频监控布设要求设置视频监控，并与中控室联网。</w:t>
            </w:r>
          </w:p>
          <w:p w14:paraId="7DF73400">
            <w:pPr>
              <w:adjustRightInd w:val="0"/>
              <w:snapToGrid w:val="0"/>
              <w:spacing w:line="500" w:lineRule="exact"/>
              <w:ind w:firstLine="480" w:firstLineChars="200"/>
              <w:rPr>
                <w:color w:val="auto"/>
                <w:sz w:val="24"/>
              </w:rPr>
            </w:pPr>
            <w:r>
              <w:rPr>
                <w:color w:val="auto"/>
                <w:sz w:val="24"/>
              </w:rPr>
              <w:t>危险废物标签：设置在危险废物容器或包装物上，由文字、编码和图形符号等组合而成，用于向相关人群传递危险废物特定信息，以警示危险废物潜在环境危害的标志。</w:t>
            </w:r>
          </w:p>
          <w:p w14:paraId="0F92E39B">
            <w:pPr>
              <w:adjustRightInd w:val="0"/>
              <w:snapToGrid w:val="0"/>
              <w:spacing w:line="500" w:lineRule="exact"/>
              <w:ind w:firstLine="480" w:firstLineChars="200"/>
              <w:rPr>
                <w:color w:val="auto"/>
                <w:sz w:val="24"/>
              </w:rPr>
            </w:pPr>
            <w:r>
              <w:rPr>
                <w:color w:val="auto"/>
                <w:sz w:val="24"/>
              </w:rPr>
              <w:t>危险废物贮存设施标志：设置在产生贮存、利用、处置危险废物的设施、场所，用于引起人们对危险废物贮存、利用、处置活动的注意，以避免潜在环境危害的警告性区域信息标志。</w:t>
            </w:r>
          </w:p>
          <w:p w14:paraId="113271AD">
            <w:pPr>
              <w:adjustRightInd w:val="0"/>
              <w:snapToGrid w:val="0"/>
              <w:spacing w:line="500" w:lineRule="exact"/>
              <w:ind w:firstLine="480" w:firstLineChars="200"/>
              <w:rPr>
                <w:color w:val="auto"/>
                <w:sz w:val="24"/>
              </w:rPr>
            </w:pPr>
            <w:r>
              <w:rPr>
                <w:color w:val="auto"/>
                <w:sz w:val="24"/>
              </w:rPr>
              <w:t>危险废物贮存分区标志：设置在危险废物贮存设施内部，用于显示危险废物贮存设施内贮存分区规划和危险废物贮存情况，以避免潜在环境危害的警告性信息标志。样式如下：</w:t>
            </w:r>
          </w:p>
          <w:p w14:paraId="573FAE72">
            <w:pPr>
              <w:pStyle w:val="16"/>
              <w:rPr>
                <w:color w:val="auto"/>
              </w:rPr>
            </w:pPr>
          </w:p>
          <w:p w14:paraId="25D1B299">
            <w:pPr>
              <w:pStyle w:val="16"/>
              <w:rPr>
                <w:color w:val="auto"/>
              </w:rPr>
            </w:pPr>
          </w:p>
          <w:p w14:paraId="688D5AC5">
            <w:pPr>
              <w:pStyle w:val="16"/>
              <w:rPr>
                <w:color w:val="auto"/>
              </w:rPr>
            </w:pPr>
          </w:p>
          <w:p w14:paraId="12A487A6">
            <w:pPr>
              <w:pStyle w:val="16"/>
              <w:rPr>
                <w:color w:val="auto"/>
              </w:rPr>
            </w:pPr>
          </w:p>
          <w:p w14:paraId="5D7AFC72">
            <w:pPr>
              <w:pStyle w:val="16"/>
              <w:rPr>
                <w:color w:val="auto"/>
              </w:rPr>
            </w:pPr>
          </w:p>
          <w:p w14:paraId="5BD61C3C">
            <w:pPr>
              <w:pStyle w:val="16"/>
              <w:rPr>
                <w:color w:val="auto"/>
              </w:rPr>
            </w:pPr>
          </w:p>
          <w:p w14:paraId="2ECC7DB2">
            <w:pPr>
              <w:pStyle w:val="16"/>
              <w:rPr>
                <w:color w:val="auto"/>
              </w:rPr>
            </w:pPr>
          </w:p>
          <w:p w14:paraId="3F78514A">
            <w:pPr>
              <w:pStyle w:val="16"/>
              <w:rPr>
                <w:color w:val="auto"/>
              </w:rPr>
            </w:pPr>
          </w:p>
          <w:p w14:paraId="3E04A9D9">
            <w:pPr>
              <w:pStyle w:val="16"/>
              <w:rPr>
                <w:color w:val="auto"/>
              </w:rPr>
            </w:pPr>
          </w:p>
          <w:p w14:paraId="7BCC60C6">
            <w:pPr>
              <w:pStyle w:val="16"/>
              <w:rPr>
                <w:color w:val="auto"/>
              </w:rPr>
            </w:pPr>
          </w:p>
          <w:p w14:paraId="5BE097AD">
            <w:pPr>
              <w:pStyle w:val="16"/>
              <w:rPr>
                <w:color w:val="auto"/>
              </w:rPr>
            </w:pPr>
          </w:p>
          <w:p w14:paraId="10083161">
            <w:pPr>
              <w:pStyle w:val="16"/>
              <w:rPr>
                <w:color w:val="auto"/>
              </w:rPr>
            </w:pPr>
          </w:p>
          <w:p w14:paraId="6B4A6741">
            <w:pPr>
              <w:pStyle w:val="16"/>
              <w:rPr>
                <w:color w:val="auto"/>
              </w:rPr>
            </w:pPr>
          </w:p>
          <w:p w14:paraId="6D1A8965">
            <w:pPr>
              <w:pStyle w:val="16"/>
              <w:rPr>
                <w:color w:val="auto"/>
              </w:rPr>
            </w:pPr>
          </w:p>
          <w:p w14:paraId="411438E2">
            <w:pPr>
              <w:pStyle w:val="16"/>
              <w:rPr>
                <w:color w:val="auto"/>
              </w:rPr>
            </w:pPr>
          </w:p>
          <w:p w14:paraId="3FD71E67">
            <w:pPr>
              <w:pStyle w:val="16"/>
              <w:rPr>
                <w:color w:val="auto"/>
              </w:rPr>
            </w:pPr>
            <w:r>
              <w:rPr>
                <w:color w:val="auto"/>
              </w:rPr>
              <w:drawing>
                <wp:anchor distT="0" distB="0" distL="114300" distR="114300" simplePos="0" relativeHeight="251665408" behindDoc="0" locked="0" layoutInCell="1" allowOverlap="1">
                  <wp:simplePos x="0" y="0"/>
                  <wp:positionH relativeFrom="column">
                    <wp:posOffset>2882900</wp:posOffset>
                  </wp:positionH>
                  <wp:positionV relativeFrom="paragraph">
                    <wp:posOffset>37465</wp:posOffset>
                  </wp:positionV>
                  <wp:extent cx="1459865" cy="647700"/>
                  <wp:effectExtent l="0" t="0" r="6985" b="0"/>
                  <wp:wrapNone/>
                  <wp:docPr id="3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9"/>
                          <pic:cNvPicPr>
                            <a:picLocks noChangeAspect="1"/>
                          </pic:cNvPicPr>
                        </pic:nvPicPr>
                        <pic:blipFill>
                          <a:blip r:embed="rId15"/>
                          <a:stretch>
                            <a:fillRect/>
                          </a:stretch>
                        </pic:blipFill>
                        <pic:spPr>
                          <a:xfrm>
                            <a:off x="0" y="0"/>
                            <a:ext cx="1459865" cy="647700"/>
                          </a:xfrm>
                          <a:prstGeom prst="rect">
                            <a:avLst/>
                          </a:prstGeom>
                          <a:noFill/>
                          <a:ln>
                            <a:noFill/>
                          </a:ln>
                          <a:effectLst/>
                        </pic:spPr>
                      </pic:pic>
                    </a:graphicData>
                  </a:graphic>
                </wp:anchor>
              </w:drawing>
            </w:r>
            <w:r>
              <w:rPr>
                <w:color w:val="auto"/>
              </w:rPr>
              <w:drawing>
                <wp:anchor distT="0" distB="0" distL="114300" distR="114300" simplePos="0" relativeHeight="251664384" behindDoc="0" locked="0" layoutInCell="1" allowOverlap="1">
                  <wp:simplePos x="0" y="0"/>
                  <wp:positionH relativeFrom="column">
                    <wp:posOffset>597535</wp:posOffset>
                  </wp:positionH>
                  <wp:positionV relativeFrom="paragraph">
                    <wp:posOffset>54610</wp:posOffset>
                  </wp:positionV>
                  <wp:extent cx="1173480" cy="659130"/>
                  <wp:effectExtent l="0" t="0" r="7620" b="7620"/>
                  <wp:wrapNone/>
                  <wp:docPr id="3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4"/>
                          <pic:cNvPicPr>
                            <a:picLocks noChangeAspect="1"/>
                          </pic:cNvPicPr>
                        </pic:nvPicPr>
                        <pic:blipFill>
                          <a:blip r:embed="rId16"/>
                          <a:stretch>
                            <a:fillRect/>
                          </a:stretch>
                        </pic:blipFill>
                        <pic:spPr>
                          <a:xfrm>
                            <a:off x="0" y="0"/>
                            <a:ext cx="1173480" cy="659130"/>
                          </a:xfrm>
                          <a:prstGeom prst="rect">
                            <a:avLst/>
                          </a:prstGeom>
                          <a:noFill/>
                          <a:ln>
                            <a:noFill/>
                          </a:ln>
                          <a:effectLst/>
                        </pic:spPr>
                      </pic:pic>
                    </a:graphicData>
                  </a:graphic>
                </wp:anchor>
              </w:drawing>
            </w:r>
          </w:p>
          <w:p w14:paraId="3AB62943">
            <w:pPr>
              <w:pStyle w:val="16"/>
              <w:rPr>
                <w:color w:val="auto"/>
              </w:rPr>
            </w:pPr>
          </w:p>
          <w:p w14:paraId="7959D2FE">
            <w:pPr>
              <w:widowControl/>
              <w:ind w:firstLine="420" w:firstLineChars="200"/>
              <w:jc w:val="left"/>
              <w:rPr>
                <w:b/>
                <w:bCs/>
                <w:color w:val="auto"/>
                <w:sz w:val="24"/>
                <w:szCs w:val="24"/>
              </w:rPr>
            </w:pPr>
            <w:r>
              <w:rPr>
                <w:color w:val="auto"/>
              </w:rPr>
              <mc:AlternateContent>
                <mc:Choice Requires="wps">
                  <w:drawing>
                    <wp:anchor distT="0" distB="0" distL="114300" distR="114300" simplePos="0" relativeHeight="251667456" behindDoc="0" locked="0" layoutInCell="1" allowOverlap="1">
                      <wp:simplePos x="0" y="0"/>
                      <wp:positionH relativeFrom="column">
                        <wp:posOffset>616585</wp:posOffset>
                      </wp:positionH>
                      <wp:positionV relativeFrom="paragraph">
                        <wp:posOffset>255270</wp:posOffset>
                      </wp:positionV>
                      <wp:extent cx="1104900" cy="323850"/>
                      <wp:effectExtent l="0" t="0" r="0" b="0"/>
                      <wp:wrapNone/>
                      <wp:docPr id="47" name="矩形 23"/>
                      <wp:cNvGraphicFramePr/>
                      <a:graphic xmlns:a="http://schemas.openxmlformats.org/drawingml/2006/main">
                        <a:graphicData uri="http://schemas.microsoft.com/office/word/2010/wordprocessingShape">
                          <wps:wsp>
                            <wps:cNvSpPr/>
                            <wps:spPr>
                              <a:xfrm>
                                <a:off x="0" y="0"/>
                                <a:ext cx="1104900" cy="323850"/>
                              </a:xfrm>
                              <a:prstGeom prst="rect">
                                <a:avLst/>
                              </a:prstGeom>
                              <a:noFill/>
                              <a:ln>
                                <a:noFill/>
                              </a:ln>
                              <a:effectLst/>
                            </wps:spPr>
                            <wps:txbx>
                              <w:txbxContent>
                                <w:p w14:paraId="6F25E5F4">
                                  <w:pPr>
                                    <w:rPr>
                                      <w:b/>
                                      <w:bCs/>
                                    </w:rPr>
                                  </w:pPr>
                                  <w:r>
                                    <w:rPr>
                                      <w:rFonts w:hint="eastAsia"/>
                                      <w:b/>
                                      <w:bCs/>
                                    </w:rPr>
                                    <w:t>危险废物标签</w:t>
                                  </w:r>
                                </w:p>
                              </w:txbxContent>
                            </wps:txbx>
                            <wps:bodyPr upright="1"/>
                          </wps:wsp>
                        </a:graphicData>
                      </a:graphic>
                    </wp:anchor>
                  </w:drawing>
                </mc:Choice>
                <mc:Fallback>
                  <w:pict>
                    <v:rect id="矩形 23" o:spid="_x0000_s1026" o:spt="1" style="position:absolute;left:0pt;margin-left:48.55pt;margin-top:20.1pt;height:25.5pt;width:87pt;z-index:251667456;mso-width-relative:page;mso-height-relative:page;" filled="f" stroked="f" coordsize="21600,21600" o:gfxdata="UEsDBAoAAAAAAIdO4kAAAAAAAAAAAAAAAAAEAAAAZHJzL1BLAwQUAAAACACHTuJAFaC9A9gAAAAI&#10;AQAADwAAAGRycy9kb3ducmV2LnhtbE2PwU7DMAyG70i8Q2QkLoglrRBjpekOkxATQprWsZ2zxrQV&#10;jdM1WTveHnOCo/39+v05X15cJ0YcQutJQzJTIJAqb1uqNXzsXu6fQIRoyJrOE2r4xgDL4voqN5n1&#10;E21xLGMtuIRCZjQ0MfaZlKFq0Jkw8z0Ss08/OBN5HGppBzNxuetkqtSjdKYlvtCYHlcNVl/l2WmY&#10;qs142L2/ys3dYe3ptD6tyv2b1rc3iXoGEfES/8Lwq8/qULDT0Z/JBtFpWMwTTmp4UCkI5uk84cWR&#10;QZKCLHL5/4HiB1BLAwQUAAAACACHTuJAifgHxqkBAABRAwAADgAAAGRycy9lMm9Eb2MueG1srVNL&#10;btswEN0X6B0I7mtKdtqmguVsjHRTpAHSHICmhhYB/kDSlnyaAN31ED1O0Wt0SClOmm6y6IaaH9/M&#10;eyOur0ajyRFCVM62tF5UlIAVrlN239L7b9fvLimJiduOa2ehpSeI9Grz9s168A0sXe90B4EgiI3N&#10;4Fvap+QbxqLowfC4cB4sJqULhid0w551gQ+IbjRbVtUHNrjQ+eAExIjR7ZSkM2J4DaCTUgnYOnEw&#10;YNOEGkDzhJRir3ykmzKtlCDSVykjJKJbikxTObEJ2rt8ss2aN/vAfa/EPAJ/zQgvOBmuLDY9Q215&#10;4uQQ1D9QRongopNpIZxhE5GiCLKoqxfa3PXcQ+GCUkd/Fj3+P1hxc7wNRHUtvfhIieUGN/774cev&#10;n9/JcpXVGXxssOjO34bZi2hmqqMMJn+RBBmLoqezojAmIjBY19XFpwrFFphbLVeX74vk7Om2DzF9&#10;BmdINloacGNFSH78EhN2xNLHktzMumulddmatn8FsHCKQFn7fDuPPw2crTTuxpnFznUnZH7wQe17&#10;bFxnsiwXodKl7fxX5FU+90vV00vY/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VoL0D2AAAAAgB&#10;AAAPAAAAAAAAAAEAIAAAACIAAABkcnMvZG93bnJldi54bWxQSwECFAAUAAAACACHTuJAifgHxqkB&#10;AABRAwAADgAAAAAAAAABACAAAAAnAQAAZHJzL2Uyb0RvYy54bWxQSwUGAAAAAAYABgBZAQAAQgUA&#10;AAAA&#10;">
                      <v:fill on="f" focussize="0,0"/>
                      <v:stroke on="f"/>
                      <v:imagedata o:title=""/>
                      <o:lock v:ext="edit" aspectratio="f"/>
                      <v:textbox>
                        <w:txbxContent>
                          <w:p w14:paraId="6F25E5F4">
                            <w:pPr>
                              <w:rPr>
                                <w:b/>
                                <w:bCs/>
                              </w:rPr>
                            </w:pPr>
                            <w:r>
                              <w:rPr>
                                <w:rFonts w:hint="eastAsia"/>
                                <w:b/>
                                <w:bCs/>
                              </w:rPr>
                              <w:t>危险废物标签</w:t>
                            </w:r>
                          </w:p>
                        </w:txbxContent>
                      </v:textbox>
                    </v:rect>
                  </w:pict>
                </mc:Fallback>
              </mc:AlternateContent>
            </w:r>
            <w:r>
              <w:rPr>
                <w:color w:val="auto"/>
              </w:rPr>
              <mc:AlternateContent>
                <mc:Choice Requires="wps">
                  <w:drawing>
                    <wp:anchor distT="0" distB="0" distL="114300" distR="114300" simplePos="0" relativeHeight="251668480" behindDoc="0" locked="0" layoutInCell="1" allowOverlap="1">
                      <wp:simplePos x="0" y="0"/>
                      <wp:positionH relativeFrom="column">
                        <wp:posOffset>2787015</wp:posOffset>
                      </wp:positionH>
                      <wp:positionV relativeFrom="paragraph">
                        <wp:posOffset>252095</wp:posOffset>
                      </wp:positionV>
                      <wp:extent cx="1722755" cy="317500"/>
                      <wp:effectExtent l="0" t="0" r="0" b="0"/>
                      <wp:wrapNone/>
                      <wp:docPr id="48" name="矩形 24"/>
                      <wp:cNvGraphicFramePr/>
                      <a:graphic xmlns:a="http://schemas.openxmlformats.org/drawingml/2006/main">
                        <a:graphicData uri="http://schemas.microsoft.com/office/word/2010/wordprocessingShape">
                          <wps:wsp>
                            <wps:cNvSpPr/>
                            <wps:spPr>
                              <a:xfrm>
                                <a:off x="0" y="0"/>
                                <a:ext cx="1722755" cy="317500"/>
                              </a:xfrm>
                              <a:prstGeom prst="rect">
                                <a:avLst/>
                              </a:prstGeom>
                              <a:noFill/>
                              <a:ln>
                                <a:noFill/>
                              </a:ln>
                              <a:effectLst/>
                            </wps:spPr>
                            <wps:txbx>
                              <w:txbxContent>
                                <w:p w14:paraId="6D8099E8">
                                  <w:pPr>
                                    <w:jc w:val="center"/>
                                    <w:rPr>
                                      <w:b/>
                                      <w:bCs/>
                                    </w:rPr>
                                  </w:pPr>
                                  <w:r>
                                    <w:rPr>
                                      <w:rFonts w:hint="eastAsia"/>
                                      <w:b/>
                                      <w:bCs/>
                                    </w:rPr>
                                    <w:t>危险废物贮存设施标志</w:t>
                                  </w:r>
                                </w:p>
                              </w:txbxContent>
                            </wps:txbx>
                            <wps:bodyPr upright="1"/>
                          </wps:wsp>
                        </a:graphicData>
                      </a:graphic>
                    </wp:anchor>
                  </w:drawing>
                </mc:Choice>
                <mc:Fallback>
                  <w:pict>
                    <v:rect id="矩形 24" o:spid="_x0000_s1026" o:spt="1" style="position:absolute;left:0pt;margin-left:219.45pt;margin-top:19.85pt;height:25pt;width:135.65pt;z-index:251668480;mso-width-relative:page;mso-height-relative:page;" filled="f" stroked="f" coordsize="21600,21600" o:gfxdata="UEsDBAoAAAAAAIdO4kAAAAAAAAAAAAAAAAAEAAAAZHJzL1BLAwQUAAAACACHTuJAGuuGotoAAAAJ&#10;AQAADwAAAGRycy9kb3ducmV2LnhtbE2PwU7CQBCG7ya+w2ZMvBjZLRgppVsOJEZiTIhFOC/t2DZ2&#10;Z0t3afHtHU56nJkv/3x/urrYVgzY+8aRhmiiQCAVrmyo0vC5e3mMQfhgqDStI9Twgx5W2e1NapLS&#10;jfSBQx4qwSHkE6OhDqFLpPRFjdb4ieuQ+PblemsCj30ly96MHG5bOVXqWVrTEH+oTYfrGovv/Gw1&#10;jMV2OOzeX+X24bBxdNqc1vn+Tev7u0gtQQS8hD8YrvqsDhk7Hd2ZSi9aDU+zeMGohtliDoKBeaSm&#10;II4aYl7ILJX/G2S/UEsDBBQAAAAIAIdO4kBhdgIWqAEAAFEDAAAOAAAAZHJzL2Uyb0RvYy54bWyt&#10;U02O0zAU3iNxB8t76iRMKYqazqYaNghGGjiA69iNJf/p2W3S0yCx4xAcB3ENnp3QgWEzCzbO+/P3&#10;3ve9eHs7WUPOEqL2rqP1qqJEOuF77Y4d/fzp7tVbSmLirufGO9nRi4z0dvfyxXYMrWz84E0vgSCI&#10;i+0YOjqkFFrGohik5XHlg3SYVB4sT+jCkfXAR0S3hjVV9YaNHvoAXsgYMbqfk3RBhOcAeqW0kHsv&#10;Tla6NKOCNDwhpTjoEOmuTKuUFOmjUlEmYjqKTFM5sQnah3yy3Za3R+Bh0GIZgT9nhCecLNcOm16h&#10;9jxxcgL9D5TVAnz0Kq2Et2wmUhRBFnX1RJuHgQdZuKDUMVxFj/8PVnw43wPRfUdvcO+OW9z4zy/f&#10;fnz/SpqbrM4YYotFD+EeFi+imalOCmz+IgkyFUUvV0XllIjAYL1pms16TYnA3Ot6s66K5OzxdoCY&#10;3klvSTY6CrixIiQ/v48JO2Lp75LczPk7bUzZmnF/BbBwjsiy9uV2Hn8eOFtpOkwLi4PvL8j8FEAf&#10;B2xcZ7IsF6HSpe3yV+RV/umXqseXsPs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GuuGotoAAAAJ&#10;AQAADwAAAAAAAAABACAAAAAiAAAAZHJzL2Rvd25yZXYueG1sUEsBAhQAFAAAAAgAh07iQGF2Ahao&#10;AQAAUQMAAA4AAAAAAAAAAQAgAAAAKQEAAGRycy9lMm9Eb2MueG1sUEsFBgAAAAAGAAYAWQEAAEMF&#10;AAAAAA==&#10;">
                      <v:fill on="f" focussize="0,0"/>
                      <v:stroke on="f"/>
                      <v:imagedata o:title=""/>
                      <o:lock v:ext="edit" aspectratio="f"/>
                      <v:textbox>
                        <w:txbxContent>
                          <w:p w14:paraId="6D8099E8">
                            <w:pPr>
                              <w:jc w:val="center"/>
                              <w:rPr>
                                <w:b/>
                                <w:bCs/>
                              </w:rPr>
                            </w:pPr>
                            <w:r>
                              <w:rPr>
                                <w:rFonts w:hint="eastAsia"/>
                                <w:b/>
                                <w:bCs/>
                              </w:rPr>
                              <w:t>危险废物贮存设施标志</w:t>
                            </w:r>
                          </w:p>
                        </w:txbxContent>
                      </v:textbox>
                    </v:rect>
                  </w:pict>
                </mc:Fallback>
              </mc:AlternateContent>
            </w:r>
          </w:p>
          <w:p w14:paraId="06004A72">
            <w:pPr>
              <w:widowControl/>
              <w:jc w:val="left"/>
              <w:rPr>
                <w:b/>
                <w:bCs/>
                <w:color w:val="auto"/>
                <w:sz w:val="24"/>
                <w:szCs w:val="24"/>
              </w:rPr>
            </w:pPr>
          </w:p>
          <w:p w14:paraId="5434A7BE">
            <w:pPr>
              <w:widowControl/>
              <w:ind w:firstLine="420" w:firstLineChars="200"/>
              <w:jc w:val="left"/>
              <w:rPr>
                <w:b/>
                <w:bCs/>
                <w:color w:val="auto"/>
                <w:sz w:val="24"/>
                <w:szCs w:val="24"/>
              </w:rPr>
            </w:pPr>
            <w:r>
              <w:rPr>
                <w:color w:val="auto"/>
              </w:rPr>
              <w:drawing>
                <wp:anchor distT="0" distB="0" distL="114300" distR="114300" simplePos="0" relativeHeight="251666432" behindDoc="0" locked="0" layoutInCell="1" allowOverlap="1">
                  <wp:simplePos x="0" y="0"/>
                  <wp:positionH relativeFrom="column">
                    <wp:posOffset>833120</wp:posOffset>
                  </wp:positionH>
                  <wp:positionV relativeFrom="paragraph">
                    <wp:posOffset>92075</wp:posOffset>
                  </wp:positionV>
                  <wp:extent cx="3364230" cy="2510155"/>
                  <wp:effectExtent l="0" t="0" r="7620" b="4445"/>
                  <wp:wrapNone/>
                  <wp:docPr id="4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7"/>
                          <pic:cNvPicPr>
                            <a:picLocks noChangeAspect="1"/>
                          </pic:cNvPicPr>
                        </pic:nvPicPr>
                        <pic:blipFill>
                          <a:blip r:embed="rId17"/>
                          <a:stretch>
                            <a:fillRect/>
                          </a:stretch>
                        </pic:blipFill>
                        <pic:spPr>
                          <a:xfrm>
                            <a:off x="0" y="0"/>
                            <a:ext cx="3364230" cy="2510155"/>
                          </a:xfrm>
                          <a:prstGeom prst="rect">
                            <a:avLst/>
                          </a:prstGeom>
                          <a:noFill/>
                          <a:ln>
                            <a:noFill/>
                          </a:ln>
                          <a:effectLst/>
                        </pic:spPr>
                      </pic:pic>
                    </a:graphicData>
                  </a:graphic>
                </wp:anchor>
              </w:drawing>
            </w:r>
          </w:p>
          <w:p w14:paraId="031403F0">
            <w:pPr>
              <w:widowControl/>
              <w:ind w:firstLine="482" w:firstLineChars="200"/>
              <w:jc w:val="left"/>
              <w:rPr>
                <w:b/>
                <w:bCs/>
                <w:color w:val="auto"/>
                <w:sz w:val="24"/>
                <w:szCs w:val="24"/>
              </w:rPr>
            </w:pPr>
          </w:p>
          <w:p w14:paraId="31E7AE7C">
            <w:pPr>
              <w:widowControl/>
              <w:ind w:firstLine="482" w:firstLineChars="200"/>
              <w:jc w:val="left"/>
              <w:rPr>
                <w:b/>
                <w:bCs/>
                <w:color w:val="auto"/>
                <w:sz w:val="24"/>
                <w:szCs w:val="24"/>
              </w:rPr>
            </w:pPr>
          </w:p>
          <w:p w14:paraId="201D898B">
            <w:pPr>
              <w:widowControl/>
              <w:ind w:firstLine="482" w:firstLineChars="200"/>
              <w:jc w:val="left"/>
              <w:rPr>
                <w:b/>
                <w:bCs/>
                <w:color w:val="auto"/>
                <w:sz w:val="24"/>
                <w:szCs w:val="24"/>
              </w:rPr>
            </w:pPr>
          </w:p>
          <w:p w14:paraId="28325058">
            <w:pPr>
              <w:widowControl/>
              <w:ind w:firstLine="482" w:firstLineChars="200"/>
              <w:jc w:val="left"/>
              <w:rPr>
                <w:b/>
                <w:bCs/>
                <w:color w:val="auto"/>
                <w:sz w:val="24"/>
                <w:szCs w:val="24"/>
              </w:rPr>
            </w:pPr>
          </w:p>
          <w:p w14:paraId="2D411850">
            <w:pPr>
              <w:widowControl/>
              <w:ind w:firstLine="482" w:firstLineChars="200"/>
              <w:jc w:val="left"/>
              <w:rPr>
                <w:b/>
                <w:bCs/>
                <w:color w:val="auto"/>
                <w:sz w:val="24"/>
                <w:szCs w:val="24"/>
              </w:rPr>
            </w:pPr>
          </w:p>
          <w:p w14:paraId="354E6E75">
            <w:pPr>
              <w:widowControl/>
              <w:ind w:firstLine="482" w:firstLineChars="200"/>
              <w:jc w:val="left"/>
              <w:rPr>
                <w:b/>
                <w:bCs/>
                <w:color w:val="auto"/>
                <w:sz w:val="24"/>
                <w:szCs w:val="24"/>
              </w:rPr>
            </w:pPr>
          </w:p>
          <w:p w14:paraId="1CF05D97">
            <w:pPr>
              <w:widowControl/>
              <w:ind w:firstLine="482" w:firstLineChars="200"/>
              <w:jc w:val="left"/>
              <w:rPr>
                <w:b/>
                <w:bCs/>
                <w:color w:val="auto"/>
                <w:sz w:val="24"/>
                <w:szCs w:val="24"/>
              </w:rPr>
            </w:pPr>
          </w:p>
          <w:p w14:paraId="4C433096">
            <w:pPr>
              <w:widowControl/>
              <w:ind w:firstLine="420" w:firstLineChars="200"/>
              <w:jc w:val="left"/>
              <w:rPr>
                <w:b/>
                <w:bCs/>
                <w:color w:val="auto"/>
                <w:sz w:val="24"/>
                <w:szCs w:val="24"/>
              </w:rPr>
            </w:pPr>
            <w:r>
              <w:rPr>
                <w:color w:val="auto"/>
              </w:rPr>
              <mc:AlternateContent>
                <mc:Choice Requires="wps">
                  <w:drawing>
                    <wp:anchor distT="0" distB="0" distL="114300" distR="114300" simplePos="0" relativeHeight="251669504" behindDoc="0" locked="0" layoutInCell="1" allowOverlap="1">
                      <wp:simplePos x="0" y="0"/>
                      <wp:positionH relativeFrom="column">
                        <wp:posOffset>1175385</wp:posOffset>
                      </wp:positionH>
                      <wp:positionV relativeFrom="paragraph">
                        <wp:posOffset>243205</wp:posOffset>
                      </wp:positionV>
                      <wp:extent cx="2771140" cy="384175"/>
                      <wp:effectExtent l="0" t="0" r="0" b="0"/>
                      <wp:wrapNone/>
                      <wp:docPr id="51" name="矩形 26"/>
                      <wp:cNvGraphicFramePr/>
                      <a:graphic xmlns:a="http://schemas.openxmlformats.org/drawingml/2006/main">
                        <a:graphicData uri="http://schemas.microsoft.com/office/word/2010/wordprocessingShape">
                          <wps:wsp>
                            <wps:cNvSpPr/>
                            <wps:spPr>
                              <a:xfrm>
                                <a:off x="0" y="0"/>
                                <a:ext cx="2771140" cy="384175"/>
                              </a:xfrm>
                              <a:prstGeom prst="rect">
                                <a:avLst/>
                              </a:prstGeom>
                              <a:noFill/>
                              <a:ln>
                                <a:noFill/>
                              </a:ln>
                              <a:effectLst/>
                            </wps:spPr>
                            <wps:txbx>
                              <w:txbxContent>
                                <w:p w14:paraId="211D82CC">
                                  <w:pPr>
                                    <w:jc w:val="center"/>
                                    <w:rPr>
                                      <w:b/>
                                      <w:bCs/>
                                      <w:sz w:val="24"/>
                                    </w:rPr>
                                  </w:pPr>
                                  <w:r>
                                    <w:rPr>
                                      <w:rFonts w:hint="eastAsia"/>
                                      <w:b/>
                                      <w:bCs/>
                                      <w:sz w:val="24"/>
                                    </w:rPr>
                                    <w:t>危险废物贮存分区标志（示例）</w:t>
                                  </w:r>
                                </w:p>
                              </w:txbxContent>
                            </wps:txbx>
                            <wps:bodyPr upright="1"/>
                          </wps:wsp>
                        </a:graphicData>
                      </a:graphic>
                    </wp:anchor>
                  </w:drawing>
                </mc:Choice>
                <mc:Fallback>
                  <w:pict>
                    <v:rect id="矩形 26" o:spid="_x0000_s1026" o:spt="1" style="position:absolute;left:0pt;margin-left:92.55pt;margin-top:19.15pt;height:30.25pt;width:218.2pt;z-index:251669504;mso-width-relative:page;mso-height-relative:page;" filled="f" stroked="f" coordsize="21600,21600" o:gfxdata="UEsDBAoAAAAAAIdO4kAAAAAAAAAAAAAAAAAEAAAAZHJzL1BLAwQUAAAACACHTuJALfKf4NkAAAAJ&#10;AQAADwAAAGRycy9kb3ducmV2LnhtbE2PQUvDQBCF74L/YRnBi9hNWlrWmE0PBbGIUEy15212TILZ&#10;2TS7Teq/dzzp8TEf732Try+uEyMOofWkIZ0lIJAqb1uqNbzvn+4ViBANWdN5Qg3fGGBdXF/lJrN+&#10;ojccy1gLLqGQGQ1NjH0mZagadCbMfI/Et08/OBM5DrW0g5m43HVyniQr6UxLvNCYHjcNVl/l2WmY&#10;qt142L8+y93dYevptD1tyo8XrW9v0uQRRMRL/IPhV5/VoWCnoz+TDaLjrJYpoxoWagGCgdU8XYI4&#10;anhQCmSRy/8fFD9QSwMEFAAAAAgAh07iQLJYsmypAQAAUQMAAA4AAABkcnMvZTJvRG9jLnhtbK1T&#10;S27bMBDdF+gdCO5rWW4SB4LlbIx0U7QB0h6ApoYWAf4wpC35NAW66yF6nKLX6JBS3TTdZNENNRwO&#10;37z3RtzcjdawE2DU3rW8Xiw5Ayd9p92h5Z8/3b+55Swm4TphvIOWnyHyu+3rV5shNLDyvTcdICMQ&#10;F5shtLxPKTRVFWUPVsSFD+DoUHm0ItEWD1WHYiB0a6rVcnlTDR67gF5CjJTdTYd8RsSXAHqltISd&#10;l0cLLk2oCEYkkhR7HSLfFrZKgUwflYqQmGk5KU1lpSYU7/NabTeiOaAIvZYzBfESCs80WaEdNb1A&#10;7UQS7Ij6HyirJfroVVpIb6tJSHGEVNTLZ9489iJA0UJWx3AxPf4/WPnh9IBMdy2/rjlzwtLEf375&#10;9uP7V7a6ye4MITZU9BgecN5FCrPUUaHNXxLBxuLo+eIojIlJSq7W67q+IrMlnb29varX1xm0+nM7&#10;YEzvwFuWg5YjTawYKU7vY5pKf5fkZs7fa2MoLxrj/koQ5pSBMvb5dqY/Ec5RGvfjrGLvuzMpPwbU&#10;h54a14VXLiKnC8P5r8ijfLqn+OlL2P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LfKf4NkAAAAJ&#10;AQAADwAAAAAAAAABACAAAAAiAAAAZHJzL2Rvd25yZXYueG1sUEsBAhQAFAAAAAgAh07iQLJYsmyp&#10;AQAAUQMAAA4AAAAAAAAAAQAgAAAAKAEAAGRycy9lMm9Eb2MueG1sUEsFBgAAAAAGAAYAWQEAAEMF&#10;AAAAAA==&#10;">
                      <v:fill on="f" focussize="0,0"/>
                      <v:stroke on="f"/>
                      <v:imagedata o:title=""/>
                      <o:lock v:ext="edit" aspectratio="f"/>
                      <v:textbox>
                        <w:txbxContent>
                          <w:p w14:paraId="211D82CC">
                            <w:pPr>
                              <w:jc w:val="center"/>
                              <w:rPr>
                                <w:b/>
                                <w:bCs/>
                                <w:sz w:val="24"/>
                              </w:rPr>
                            </w:pPr>
                            <w:r>
                              <w:rPr>
                                <w:rFonts w:hint="eastAsia"/>
                                <w:b/>
                                <w:bCs/>
                                <w:sz w:val="24"/>
                              </w:rPr>
                              <w:t>危险废物贮存分区标志（示例）</w:t>
                            </w:r>
                          </w:p>
                        </w:txbxContent>
                      </v:textbox>
                    </v:rect>
                  </w:pict>
                </mc:Fallback>
              </mc:AlternateContent>
            </w:r>
          </w:p>
          <w:p w14:paraId="48ABD650">
            <w:pPr>
              <w:widowControl/>
              <w:ind w:firstLine="482" w:firstLineChars="200"/>
              <w:jc w:val="left"/>
              <w:rPr>
                <w:b/>
                <w:bCs/>
                <w:color w:val="auto"/>
                <w:sz w:val="24"/>
                <w:szCs w:val="24"/>
              </w:rPr>
            </w:pPr>
          </w:p>
          <w:p w14:paraId="0349A384">
            <w:pPr>
              <w:adjustRightInd w:val="0"/>
              <w:snapToGrid w:val="0"/>
              <w:ind w:firstLine="480" w:firstLineChars="200"/>
              <w:rPr>
                <w:color w:val="auto"/>
                <w:sz w:val="24"/>
              </w:rPr>
            </w:pPr>
            <w:r>
              <w:rPr>
                <w:color w:val="auto"/>
                <w:sz w:val="24"/>
              </w:rPr>
              <w:t>本项目危险废物贮存设施的选址与设计：A.项目所在地结构稳定；B.地震烈度不超过7度的区域内，设施底部高于地下水最高水位；C.项目所在地不属于溶洞区或易遭受严重自然灾害如洪水、滑坡、泥石流、潮汐等影响的地区；D.不位于居民中心区常年最大风频的上风向。本项目危废贮存设施位于车间内。因此，危废仓库选址可行。</w:t>
            </w:r>
          </w:p>
          <w:p w14:paraId="3B12BA5F">
            <w:pPr>
              <w:adjustRightInd w:val="0"/>
              <w:snapToGrid w:val="0"/>
              <w:ind w:firstLine="480" w:firstLineChars="200"/>
              <w:rPr>
                <w:bCs/>
                <w:color w:val="auto"/>
                <w:sz w:val="24"/>
              </w:rPr>
            </w:pPr>
            <w:r>
              <w:rPr>
                <w:bCs/>
                <w:color w:val="auto"/>
                <w:sz w:val="24"/>
              </w:rPr>
              <w:t>本项目根据危险废物的种类和特性分别进行分区、分类贮存，并设置防雨、防火、防雷、防扬散、防渗漏装置及泄漏液体收集装置。根据《危险废物贮存污染控制标准》（GB18597-2023）等规定要求，</w:t>
            </w:r>
            <w:r>
              <w:rPr>
                <w:bCs/>
                <w:color w:val="auto"/>
                <w:sz w:val="24"/>
                <w:szCs w:val="24"/>
              </w:rPr>
              <w:t>本项目废活性炭</w:t>
            </w:r>
            <w:r>
              <w:rPr>
                <w:rStyle w:val="33"/>
                <w:rFonts w:hint="eastAsia"/>
                <w:color w:val="auto"/>
                <w:kern w:val="0"/>
                <w:sz w:val="24"/>
                <w:szCs w:val="24"/>
                <w:lang w:val="en-US" w:eastAsia="zh-CN"/>
              </w:rPr>
              <w:t>及废包装桶采用</w:t>
            </w:r>
            <w:r>
              <w:rPr>
                <w:rFonts w:hint="default" w:ascii="Times New Roman" w:hAnsi="Times New Roman" w:eastAsia="宋体" w:cs="Times New Roman"/>
                <w:color w:val="auto"/>
                <w:sz w:val="24"/>
                <w:szCs w:val="24"/>
                <w:lang w:val="en-US" w:eastAsia="zh-CN"/>
              </w:rPr>
              <w:t>塑料薄膜密封贮存</w:t>
            </w:r>
            <w:r>
              <w:rPr>
                <w:rFonts w:hint="eastAsia" w:ascii="Times New Roman" w:hAnsi="Times New Roman" w:eastAsia="宋体" w:cs="Times New Roman"/>
                <w:color w:val="auto"/>
                <w:sz w:val="24"/>
                <w:szCs w:val="24"/>
                <w:lang w:val="en-US" w:eastAsia="zh-CN"/>
              </w:rPr>
              <w:t>于</w:t>
            </w:r>
            <w:r>
              <w:rPr>
                <w:rFonts w:hint="default" w:ascii="Times New Roman" w:hAnsi="Times New Roman" w:eastAsia="宋体" w:cs="Times New Roman"/>
                <w:color w:val="auto"/>
                <w:sz w:val="24"/>
                <w:szCs w:val="24"/>
                <w:lang w:val="en-US" w:eastAsia="zh-CN"/>
              </w:rPr>
              <w:t>危废仓库</w:t>
            </w:r>
            <w:r>
              <w:rPr>
                <w:rFonts w:hint="eastAsia" w:ascii="Times New Roman" w:hAnsi="Times New Roman" w:eastAsia="宋体" w:cs="Times New Roman"/>
                <w:color w:val="auto"/>
                <w:sz w:val="24"/>
                <w:szCs w:val="24"/>
                <w:lang w:val="en-US" w:eastAsia="zh-CN"/>
              </w:rPr>
              <w:t>，清洗废液及废机油直接收集至废油桶与废油桶堆放暂存区位于危废仓库内，废抹布采用编织袋</w:t>
            </w:r>
            <w:r>
              <w:rPr>
                <w:rFonts w:hint="default" w:ascii="Times New Roman" w:hAnsi="Times New Roman" w:eastAsia="宋体" w:cs="Times New Roman"/>
                <w:color w:val="auto"/>
                <w:sz w:val="24"/>
                <w:szCs w:val="24"/>
                <w:lang w:val="en-US" w:eastAsia="zh-CN"/>
              </w:rPr>
              <w:t>贮存</w:t>
            </w:r>
            <w:r>
              <w:rPr>
                <w:rFonts w:hint="eastAsia" w:ascii="Times New Roman" w:hAnsi="Times New Roman" w:eastAsia="宋体" w:cs="Times New Roman"/>
                <w:color w:val="auto"/>
                <w:sz w:val="24"/>
                <w:szCs w:val="24"/>
                <w:lang w:val="en-US" w:eastAsia="zh-CN"/>
              </w:rPr>
              <w:t>于</w:t>
            </w:r>
            <w:r>
              <w:rPr>
                <w:rFonts w:hint="default" w:ascii="Times New Roman" w:hAnsi="Times New Roman" w:eastAsia="宋体" w:cs="Times New Roman"/>
                <w:color w:val="auto"/>
                <w:sz w:val="24"/>
                <w:szCs w:val="24"/>
                <w:lang w:val="en-US" w:eastAsia="zh-CN"/>
              </w:rPr>
              <w:t>危废仓库</w:t>
            </w:r>
            <w:r>
              <w:rPr>
                <w:rFonts w:hint="eastAsia" w:ascii="Times New Roman" w:hAnsi="Times New Roman" w:eastAsia="宋体" w:cs="Times New Roman"/>
                <w:color w:val="auto"/>
                <w:sz w:val="24"/>
                <w:szCs w:val="24"/>
                <w:lang w:val="en-US" w:eastAsia="zh-CN"/>
              </w:rPr>
              <w:t>，</w:t>
            </w:r>
            <w:r>
              <w:rPr>
                <w:bCs/>
                <w:color w:val="auto"/>
                <w:sz w:val="24"/>
              </w:rPr>
              <w:t>危废仓库应保持干燥、清洁，相对湿度保持在75%以下，应设置耐腐蚀的硬化地面（环氧树脂+水泥硬化），并设置围堰，由专人管理和维护，各类固体废物按照相关要求分类收集贮存，中间采用防护栅栏隔离。上述危险废物分类收集后贮存于相应的包装桶或其他容器内，包装容器符合相关规定，与固体废物无任何反应，对固废无影响。同时本项目危险废物堆放场所采取防渗漏或者其他防止污染环境的措施。项目设置满足要求的防渗措施后对区域土壤、地下水影响不大。符合《危险废物贮存污染控制标准》（GB 18597-2023）的要求，不会对地下水、地表水和土壤产生不利影响。</w:t>
            </w:r>
          </w:p>
          <w:p w14:paraId="5884A9ED">
            <w:pPr>
              <w:widowControl/>
              <w:adjustRightInd w:val="0"/>
              <w:snapToGrid w:val="0"/>
              <w:jc w:val="left"/>
              <w:rPr>
                <w:b/>
                <w:bCs/>
                <w:color w:val="auto"/>
                <w:sz w:val="24"/>
                <w:szCs w:val="24"/>
              </w:rPr>
            </w:pPr>
            <w:r>
              <w:rPr>
                <w:b/>
                <w:bCs/>
                <w:color w:val="auto"/>
                <w:sz w:val="24"/>
                <w:szCs w:val="24"/>
              </w:rPr>
              <w:t>4.4运输过程的环境影响分析</w:t>
            </w:r>
          </w:p>
          <w:p w14:paraId="7477CAA7">
            <w:pPr>
              <w:widowControl/>
              <w:adjustRightInd w:val="0"/>
              <w:snapToGrid w:val="0"/>
              <w:ind w:firstLine="480" w:firstLineChars="200"/>
              <w:jc w:val="left"/>
              <w:rPr>
                <w:bCs/>
                <w:color w:val="auto"/>
                <w:sz w:val="24"/>
              </w:rPr>
            </w:pPr>
            <w:r>
              <w:rPr>
                <w:bCs/>
                <w:color w:val="auto"/>
                <w:sz w:val="24"/>
              </w:rPr>
              <w:t>危险废物的收集、运输按照《危险废物收集、贮存、运输技术规范》（HJ2025-2012）的要求进行。在运输过程中，按照《江苏省固体废物污染环境防治条例》中对危险废物的包装、运输的有关标准、技术规范和要求进行，有效防止危险废物转移过程中污染环境。项目需处理的危险废物采用专门的车辆，密闭运输，严格禁止抛洒滴漏，杜绝在运输过程中造成环境的二次污染。在危险废物的运输中执行《危险废物转移管理办法》</w:t>
            </w:r>
            <w:r>
              <w:rPr>
                <w:rFonts w:hint="eastAsia"/>
                <w:bCs/>
                <w:color w:val="auto"/>
                <w:sz w:val="24"/>
              </w:rPr>
              <w:t>（部令 第</w:t>
            </w:r>
            <w:r>
              <w:rPr>
                <w:bCs/>
                <w:color w:val="auto"/>
                <w:sz w:val="24"/>
              </w:rPr>
              <w:t>23</w:t>
            </w:r>
            <w:r>
              <w:rPr>
                <w:rFonts w:hint="eastAsia"/>
                <w:bCs/>
                <w:color w:val="auto"/>
                <w:sz w:val="24"/>
              </w:rPr>
              <w:t>号）</w:t>
            </w:r>
            <w:r>
              <w:rPr>
                <w:bCs/>
                <w:color w:val="auto"/>
                <w:sz w:val="24"/>
              </w:rPr>
              <w:t>中有关的规定和要求。</w:t>
            </w:r>
          </w:p>
          <w:p w14:paraId="32A6558A">
            <w:pPr>
              <w:widowControl/>
              <w:adjustRightInd w:val="0"/>
              <w:snapToGrid w:val="0"/>
              <w:ind w:firstLine="480" w:firstLineChars="200"/>
              <w:jc w:val="left"/>
              <w:rPr>
                <w:bCs/>
                <w:color w:val="auto"/>
                <w:sz w:val="24"/>
              </w:rPr>
            </w:pPr>
            <w:r>
              <w:rPr>
                <w:rFonts w:hint="eastAsia"/>
                <w:bCs/>
                <w:color w:val="auto"/>
                <w:sz w:val="24"/>
              </w:rPr>
              <w:t>①危险废物的运输车辆须经主管单位检查，并持有有关单位签发的许可证，负责运输的司机应通过培训，持有证明文件。</w:t>
            </w:r>
          </w:p>
          <w:p w14:paraId="322C6620">
            <w:pPr>
              <w:widowControl/>
              <w:adjustRightInd w:val="0"/>
              <w:snapToGrid w:val="0"/>
              <w:ind w:firstLine="480" w:firstLineChars="200"/>
              <w:jc w:val="left"/>
              <w:rPr>
                <w:bCs/>
                <w:color w:val="auto"/>
                <w:sz w:val="24"/>
              </w:rPr>
            </w:pPr>
            <w:r>
              <w:rPr>
                <w:rFonts w:hint="eastAsia"/>
                <w:bCs/>
                <w:color w:val="auto"/>
                <w:sz w:val="24"/>
              </w:rPr>
              <w:t>②承载危险废物的车辆须有明显的标志或适当的危险符号，以引起注意。</w:t>
            </w:r>
          </w:p>
          <w:p w14:paraId="6C56AF0A">
            <w:pPr>
              <w:widowControl/>
              <w:adjustRightInd w:val="0"/>
              <w:snapToGrid w:val="0"/>
              <w:ind w:firstLine="480" w:firstLineChars="200"/>
              <w:jc w:val="left"/>
              <w:rPr>
                <w:bCs/>
                <w:color w:val="auto"/>
                <w:sz w:val="24"/>
              </w:rPr>
            </w:pPr>
            <w:r>
              <w:rPr>
                <w:rFonts w:hint="eastAsia"/>
                <w:bCs/>
                <w:color w:val="auto"/>
                <w:sz w:val="24"/>
              </w:rPr>
              <w:t>③载有危险废物的车辆在公路上行驶时，需持有运输许可证，其上应注明废物来源、性质和运往地点。</w:t>
            </w:r>
          </w:p>
          <w:p w14:paraId="54861588">
            <w:pPr>
              <w:widowControl/>
              <w:adjustRightInd w:val="0"/>
              <w:snapToGrid w:val="0"/>
              <w:ind w:firstLine="480" w:firstLineChars="200"/>
              <w:jc w:val="left"/>
              <w:rPr>
                <w:bCs/>
                <w:color w:val="auto"/>
                <w:sz w:val="24"/>
              </w:rPr>
            </w:pPr>
            <w:r>
              <w:rPr>
                <w:rFonts w:hint="eastAsia"/>
                <w:bCs/>
                <w:color w:val="auto"/>
                <w:sz w:val="24"/>
              </w:rPr>
              <w:t>④组织危险废物的运输单位，在事先需作出周密的运输计划和行驶路线，其中包括有效的废物泄漏情况下的应急措施。</w:t>
            </w:r>
          </w:p>
          <w:p w14:paraId="36F4E8D6">
            <w:pPr>
              <w:widowControl/>
              <w:adjustRightInd w:val="0"/>
              <w:snapToGrid w:val="0"/>
              <w:ind w:firstLine="480" w:firstLineChars="200"/>
              <w:jc w:val="left"/>
              <w:rPr>
                <w:bCs/>
                <w:color w:val="auto"/>
                <w:sz w:val="24"/>
              </w:rPr>
            </w:pPr>
            <w:r>
              <w:rPr>
                <w:rFonts w:hint="eastAsia"/>
                <w:bCs/>
                <w:color w:val="auto"/>
                <w:sz w:val="24"/>
              </w:rPr>
              <w:t>⑤必须配备随车人员在途中经常检查，危险废物如有丢失、被盗，应立即报告当地交通运输、环境保护主管部门，并由交通运输主管部门会同公安部门和环保部门查处。</w:t>
            </w:r>
          </w:p>
          <w:p w14:paraId="6C9518D4">
            <w:pPr>
              <w:widowControl/>
              <w:adjustRightInd w:val="0"/>
              <w:snapToGrid w:val="0"/>
              <w:ind w:firstLine="480" w:firstLineChars="200"/>
              <w:jc w:val="left"/>
              <w:rPr>
                <w:bCs/>
                <w:color w:val="auto"/>
                <w:sz w:val="24"/>
              </w:rPr>
            </w:pPr>
            <w:r>
              <w:rPr>
                <w:rFonts w:hint="eastAsia"/>
                <w:bCs/>
                <w:color w:val="auto"/>
                <w:sz w:val="24"/>
              </w:rPr>
              <w:t>⑥驾驶人员一次连续驾驶4小时应休息20分钟以上，24小时之内实际驾驶时间累计不超过8小时。</w:t>
            </w:r>
          </w:p>
          <w:p w14:paraId="2EE67AF9">
            <w:pPr>
              <w:widowControl/>
              <w:adjustRightInd w:val="0"/>
              <w:snapToGrid w:val="0"/>
              <w:jc w:val="left"/>
              <w:rPr>
                <w:b/>
                <w:bCs/>
                <w:color w:val="auto"/>
                <w:sz w:val="24"/>
                <w:szCs w:val="24"/>
              </w:rPr>
            </w:pPr>
            <w:r>
              <w:rPr>
                <w:b/>
                <w:bCs/>
                <w:color w:val="auto"/>
                <w:sz w:val="24"/>
                <w:szCs w:val="24"/>
              </w:rPr>
              <w:t>4.5</w:t>
            </w:r>
            <w:r>
              <w:rPr>
                <w:b/>
                <w:color w:val="auto"/>
                <w:sz w:val="24"/>
              </w:rPr>
              <w:t>委外处置的环境影响分析</w:t>
            </w:r>
          </w:p>
          <w:p w14:paraId="5B0862F8">
            <w:pPr>
              <w:pStyle w:val="73"/>
              <w:rPr>
                <w:color w:val="auto"/>
                <w:sz w:val="24"/>
                <w:szCs w:val="24"/>
              </w:rPr>
            </w:pPr>
            <w:r>
              <w:rPr>
                <w:color w:val="auto"/>
                <w:sz w:val="24"/>
                <w:szCs w:val="24"/>
              </w:rPr>
              <w:t>本项目委托处置的危险废物为</w:t>
            </w:r>
            <w:r>
              <w:rPr>
                <w:rFonts w:hint="eastAsia"/>
                <w:color w:val="auto"/>
                <w:sz w:val="24"/>
                <w:szCs w:val="24"/>
              </w:rPr>
              <w:t>废机油、废</w:t>
            </w:r>
            <w:r>
              <w:rPr>
                <w:rFonts w:hint="eastAsia"/>
                <w:color w:val="auto"/>
                <w:sz w:val="24"/>
                <w:szCs w:val="24"/>
                <w:lang w:val="en-US" w:eastAsia="zh-CN"/>
              </w:rPr>
              <w:t>油</w:t>
            </w:r>
            <w:r>
              <w:rPr>
                <w:rFonts w:hint="eastAsia"/>
                <w:color w:val="auto"/>
                <w:sz w:val="24"/>
                <w:szCs w:val="24"/>
              </w:rPr>
              <w:t>桶、</w:t>
            </w:r>
            <w:r>
              <w:rPr>
                <w:rFonts w:hint="eastAsia"/>
                <w:color w:val="auto"/>
                <w:sz w:val="24"/>
                <w:szCs w:val="24"/>
                <w:lang w:val="en-US" w:eastAsia="zh-CN"/>
              </w:rPr>
              <w:t>废活性炭</w:t>
            </w:r>
            <w:r>
              <w:rPr>
                <w:rFonts w:hint="eastAsia"/>
                <w:color w:val="auto"/>
                <w:sz w:val="24"/>
                <w:szCs w:val="24"/>
              </w:rPr>
              <w:t>、</w:t>
            </w:r>
            <w:r>
              <w:rPr>
                <w:color w:val="auto"/>
                <w:sz w:val="24"/>
                <w:szCs w:val="24"/>
              </w:rPr>
              <w:t>废抹布</w:t>
            </w:r>
            <w:r>
              <w:rPr>
                <w:rFonts w:hint="eastAsia"/>
                <w:color w:val="auto"/>
                <w:sz w:val="24"/>
                <w:szCs w:val="24"/>
              </w:rPr>
              <w:t>、</w:t>
            </w:r>
            <w:r>
              <w:rPr>
                <w:color w:val="auto"/>
                <w:sz w:val="24"/>
                <w:szCs w:val="24"/>
              </w:rPr>
              <w:t>废包装桶，目前暂未委托利用或处置单位，应尽快落实，使各类危废得到妥善处置。根据对项目周边有资质的危废处置单位的分布情况、处置能力、资质类别的调查，可委托单位如下表4-</w:t>
            </w:r>
            <w:r>
              <w:rPr>
                <w:rFonts w:hint="eastAsia"/>
                <w:color w:val="auto"/>
                <w:sz w:val="24"/>
                <w:szCs w:val="24"/>
                <w:lang w:val="en-US" w:eastAsia="zh-CN"/>
              </w:rPr>
              <w:t>26</w:t>
            </w:r>
            <w:r>
              <w:rPr>
                <w:color w:val="auto"/>
                <w:sz w:val="24"/>
                <w:szCs w:val="24"/>
              </w:rPr>
              <w:t>。</w:t>
            </w:r>
          </w:p>
          <w:p w14:paraId="73160E4A">
            <w:pPr>
              <w:widowControl/>
              <w:adjustRightInd w:val="0"/>
              <w:snapToGrid w:val="0"/>
              <w:jc w:val="left"/>
              <w:rPr>
                <w:b/>
                <w:bCs/>
                <w:color w:val="auto"/>
                <w:sz w:val="24"/>
                <w:szCs w:val="24"/>
              </w:rPr>
            </w:pPr>
            <w:r>
              <w:rPr>
                <w:b/>
                <w:bCs/>
                <w:color w:val="auto"/>
                <w:sz w:val="24"/>
                <w:szCs w:val="24"/>
              </w:rPr>
              <w:t>4.7固体废物污染防治措施及其技术分析</w:t>
            </w:r>
          </w:p>
          <w:p w14:paraId="302F23F2">
            <w:pPr>
              <w:adjustRightInd w:val="0"/>
              <w:snapToGrid w:val="0"/>
              <w:ind w:firstLine="480" w:firstLineChars="200"/>
              <w:rPr>
                <w:color w:val="auto"/>
                <w:sz w:val="24"/>
              </w:rPr>
            </w:pPr>
            <w:r>
              <w:rPr>
                <w:color w:val="auto"/>
                <w:sz w:val="24"/>
              </w:rPr>
              <w:t>本项目危险废物定期收集，一般固废每周收集一次，生活垃圾每天收集一次；</w:t>
            </w:r>
          </w:p>
          <w:p w14:paraId="1B82C685">
            <w:pPr>
              <w:pStyle w:val="52"/>
              <w:adjustRightInd w:val="0"/>
              <w:snapToGrid w:val="0"/>
              <w:rPr>
                <w:color w:val="auto"/>
              </w:rPr>
            </w:pPr>
            <w:r>
              <w:rPr>
                <w:rFonts w:hint="eastAsia"/>
                <w:color w:val="auto"/>
                <w:szCs w:val="24"/>
              </w:rPr>
              <w:t>本项目一般工业固废的暂存需满足相应防渗漏、防雨淋、防扬尘等环境保护要求</w:t>
            </w:r>
            <w:r>
              <w:rPr>
                <w:color w:val="auto"/>
                <w:szCs w:val="24"/>
              </w:rPr>
              <w:t>。危险废物执行《危险废物贮存污染控制标准》（GB18597-2023）</w:t>
            </w:r>
            <w:r>
              <w:rPr>
                <w:color w:val="auto"/>
              </w:rPr>
              <w:t>，各类固体废物按照相关要求分类收集贮存，本项目一般固废有废纸</w:t>
            </w:r>
            <w:r>
              <w:rPr>
                <w:rFonts w:hint="eastAsia"/>
                <w:color w:val="auto"/>
              </w:rPr>
              <w:t>、</w:t>
            </w:r>
            <w:r>
              <w:rPr>
                <w:color w:val="auto"/>
              </w:rPr>
              <w:t>废布经收集后回用和外售，危</w:t>
            </w:r>
            <w:r>
              <w:rPr>
                <w:color w:val="auto"/>
                <w:szCs w:val="24"/>
              </w:rPr>
              <w:t>险废物有</w:t>
            </w:r>
            <w:r>
              <w:rPr>
                <w:rFonts w:hint="eastAsia"/>
                <w:color w:val="auto"/>
                <w:szCs w:val="24"/>
              </w:rPr>
              <w:t>废机油、废</w:t>
            </w:r>
            <w:r>
              <w:rPr>
                <w:rFonts w:hint="eastAsia"/>
                <w:color w:val="auto"/>
                <w:szCs w:val="24"/>
                <w:lang w:val="en-US" w:eastAsia="zh-CN"/>
              </w:rPr>
              <w:t>油</w:t>
            </w:r>
            <w:r>
              <w:rPr>
                <w:rFonts w:hint="eastAsia"/>
                <w:color w:val="auto"/>
                <w:szCs w:val="24"/>
              </w:rPr>
              <w:t>桶、</w:t>
            </w:r>
            <w:r>
              <w:rPr>
                <w:rFonts w:hint="eastAsia"/>
                <w:color w:val="auto"/>
                <w:szCs w:val="24"/>
                <w:lang w:eastAsia="zh-CN"/>
              </w:rPr>
              <w:t>清洗废液</w:t>
            </w:r>
            <w:r>
              <w:rPr>
                <w:rFonts w:hint="eastAsia"/>
                <w:color w:val="auto"/>
                <w:szCs w:val="24"/>
              </w:rPr>
              <w:t>、</w:t>
            </w:r>
            <w:r>
              <w:rPr>
                <w:color w:val="auto"/>
                <w:szCs w:val="24"/>
              </w:rPr>
              <w:t>废抹布</w:t>
            </w:r>
            <w:r>
              <w:rPr>
                <w:rFonts w:hint="eastAsia"/>
                <w:color w:val="auto"/>
                <w:szCs w:val="24"/>
              </w:rPr>
              <w:t>、</w:t>
            </w:r>
            <w:r>
              <w:rPr>
                <w:color w:val="auto"/>
                <w:szCs w:val="24"/>
              </w:rPr>
              <w:t>废包装桶</w:t>
            </w:r>
            <w:r>
              <w:rPr>
                <w:rFonts w:hint="eastAsia"/>
                <w:color w:val="auto"/>
                <w:szCs w:val="24"/>
              </w:rPr>
              <w:t>、</w:t>
            </w:r>
            <w:r>
              <w:rPr>
                <w:rFonts w:hint="eastAsia"/>
                <w:color w:val="auto"/>
                <w:szCs w:val="24"/>
                <w:lang w:val="en-US" w:eastAsia="zh-CN"/>
              </w:rPr>
              <w:t>废活性炭</w:t>
            </w:r>
            <w:r>
              <w:rPr>
                <w:color w:val="auto"/>
                <w:szCs w:val="24"/>
              </w:rPr>
              <w:t>，收集后交有资质单位处理。生活</w:t>
            </w:r>
            <w:r>
              <w:rPr>
                <w:color w:val="auto"/>
              </w:rPr>
              <w:t>垃圾收集后贮存于生活垃圾塑料桶，包装容器符合相关规定，与固体废物无任何反应，对固废无影响。</w:t>
            </w:r>
          </w:p>
          <w:p w14:paraId="03069A5C">
            <w:pPr>
              <w:pStyle w:val="16"/>
              <w:adjustRightInd w:val="0"/>
              <w:ind w:firstLine="480" w:firstLineChars="200"/>
              <w:rPr>
                <w:color w:val="auto"/>
                <w:sz w:val="24"/>
              </w:rPr>
            </w:pPr>
            <w:r>
              <w:rPr>
                <w:color w:val="auto"/>
                <w:sz w:val="24"/>
              </w:rPr>
              <w:t>综上所述，本项目固体废物贮存场所建设能够达到国家相关标准规定要求。</w:t>
            </w:r>
          </w:p>
          <w:p w14:paraId="2F5C7E2F">
            <w:pPr>
              <w:widowControl/>
              <w:adjustRightInd w:val="0"/>
              <w:snapToGrid w:val="0"/>
              <w:jc w:val="left"/>
              <w:rPr>
                <w:b/>
                <w:bCs/>
                <w:color w:val="auto"/>
                <w:sz w:val="24"/>
                <w:szCs w:val="24"/>
              </w:rPr>
            </w:pPr>
            <w:r>
              <w:rPr>
                <w:b/>
                <w:bCs/>
                <w:color w:val="auto"/>
                <w:sz w:val="24"/>
                <w:szCs w:val="24"/>
              </w:rPr>
              <w:t>4.8加强危险废物申报管理及落实信息公开制度</w:t>
            </w:r>
          </w:p>
          <w:p w14:paraId="0A61A4DA">
            <w:pPr>
              <w:adjustRightInd w:val="0"/>
              <w:snapToGrid w:val="0"/>
              <w:ind w:firstLine="480" w:firstLineChars="200"/>
              <w:rPr>
                <w:color w:val="auto"/>
                <w:sz w:val="24"/>
              </w:rPr>
            </w:pPr>
            <w:r>
              <w:rPr>
                <w:color w:val="auto"/>
                <w:sz w:val="24"/>
              </w:rPr>
              <w:t>项目实施后，将按规定申报危险废物产生、贮存、转移、利用处置等信息，制定危险废物年度管理计划，并在“江苏省危险废物动态管理信息系统”中备案。管理计划如需变更的，则重新在系统中申请备案。企业将结合自身实际，建立危险废物台账，如实记载危险废物的种类、数量、性质、产生环节、流向、贮存、利用处置等信息，并在“江苏省危险废物动态管理信息系统”中进行如实规范申报，申报数据应与台账、管理计划数据相一致。</w:t>
            </w:r>
          </w:p>
          <w:p w14:paraId="5EFDE628">
            <w:pPr>
              <w:adjustRightInd w:val="0"/>
              <w:snapToGrid w:val="0"/>
              <w:ind w:firstLine="480" w:firstLineChars="200"/>
              <w:rPr>
                <w:color w:val="auto"/>
                <w:sz w:val="24"/>
              </w:rPr>
            </w:pPr>
            <w:r>
              <w:rPr>
                <w:color w:val="auto"/>
                <w:sz w:val="24"/>
              </w:rPr>
              <w:t>项目实施后，企业将按照该实施意见要求，在厂区门口显著位置设置危险废物信息公开栏，主动公开危险废物产生、利用处置等情况；企业有官方网站的，在官网上同时公开项目信息。</w:t>
            </w:r>
          </w:p>
          <w:p w14:paraId="4D7377C1">
            <w:pPr>
              <w:widowControl/>
              <w:adjustRightInd w:val="0"/>
              <w:snapToGrid w:val="0"/>
              <w:jc w:val="left"/>
              <w:rPr>
                <w:b/>
                <w:bCs/>
                <w:color w:val="auto"/>
                <w:sz w:val="24"/>
                <w:szCs w:val="24"/>
              </w:rPr>
            </w:pPr>
            <w:r>
              <w:rPr>
                <w:b/>
                <w:bCs/>
                <w:color w:val="auto"/>
                <w:sz w:val="24"/>
                <w:szCs w:val="24"/>
              </w:rPr>
              <w:t>4.9危险废物环境风险评价</w:t>
            </w:r>
          </w:p>
          <w:p w14:paraId="61C5FE2E">
            <w:pPr>
              <w:widowControl/>
              <w:adjustRightInd w:val="0"/>
              <w:snapToGrid w:val="0"/>
              <w:ind w:firstLine="480" w:firstLineChars="200"/>
              <w:jc w:val="left"/>
              <w:rPr>
                <w:color w:val="auto"/>
                <w:sz w:val="24"/>
              </w:rPr>
            </w:pPr>
            <w:r>
              <w:rPr>
                <w:color w:val="auto"/>
                <w:sz w:val="24"/>
              </w:rPr>
              <w:t>按照《建设项目环境风险评价技术导则》（HJ169-2018），</w:t>
            </w:r>
            <w:r>
              <w:rPr>
                <w:rFonts w:hint="eastAsia"/>
                <w:color w:val="auto"/>
                <w:sz w:val="24"/>
              </w:rPr>
              <w:t>企业</w:t>
            </w:r>
            <w:r>
              <w:rPr>
                <w:color w:val="auto"/>
                <w:sz w:val="24"/>
              </w:rPr>
              <w:t>危险废物存在泄漏风险，</w:t>
            </w:r>
            <w:r>
              <w:rPr>
                <w:rFonts w:hint="eastAsia"/>
                <w:color w:val="auto"/>
                <w:sz w:val="24"/>
              </w:rPr>
              <w:t>企业</w:t>
            </w:r>
            <w:r>
              <w:rPr>
                <w:color w:val="auto"/>
                <w:sz w:val="24"/>
              </w:rPr>
              <w:t>在液态危险废物贮存容器下方设置</w:t>
            </w:r>
            <w:r>
              <w:rPr>
                <w:rFonts w:hint="eastAsia"/>
                <w:color w:val="auto"/>
                <w:sz w:val="24"/>
              </w:rPr>
              <w:t>防渗</w:t>
            </w:r>
            <w:r>
              <w:rPr>
                <w:color w:val="auto"/>
                <w:sz w:val="24"/>
              </w:rPr>
              <w:t>托盘，</w:t>
            </w:r>
            <w:r>
              <w:rPr>
                <w:rFonts w:hint="eastAsia"/>
                <w:color w:val="auto"/>
                <w:sz w:val="24"/>
              </w:rPr>
              <w:t>在危废仓库设置液体泄漏堵截设施</w:t>
            </w:r>
            <w:r>
              <w:rPr>
                <w:color w:val="auto"/>
                <w:sz w:val="24"/>
              </w:rPr>
              <w:t>，发生少量泄漏应立即将容器内剩余液体转移，并收集托盘、地沟内泄漏液体，防止泄漏物料挥发到大气中，同时应在</w:t>
            </w:r>
            <w:r>
              <w:rPr>
                <w:rFonts w:hint="eastAsia"/>
                <w:color w:val="auto"/>
                <w:sz w:val="24"/>
              </w:rPr>
              <w:t>危废仓库</w:t>
            </w:r>
            <w:r>
              <w:rPr>
                <w:color w:val="auto"/>
                <w:sz w:val="24"/>
              </w:rPr>
              <w:t>内设置禁火标志，并布置灭火器、沙包等消防物资，防止火灾的发生和蔓延。可燃物质一旦储存不当遭遇明火，可能会发生火灾事件，会对环境和社会造成不利影响，严重时会引发人员伤亡。厂区发生火灾事故在燃烧中产生含有一氧化碳等有毒气体，对大气环境产生不利影响。另厂区发生泄漏以及火灾、爆炸事故也可能会导致有毒有害物质渗透入土壤中，造成土壤、地下水污染。主要影响如下：</w:t>
            </w:r>
          </w:p>
          <w:p w14:paraId="03B5071A">
            <w:pPr>
              <w:widowControl/>
              <w:adjustRightInd w:val="0"/>
              <w:snapToGrid w:val="0"/>
              <w:ind w:firstLine="480" w:firstLineChars="200"/>
              <w:jc w:val="left"/>
              <w:rPr>
                <w:color w:val="auto"/>
                <w:sz w:val="24"/>
              </w:rPr>
            </w:pPr>
            <w:r>
              <w:rPr>
                <w:rFonts w:hint="eastAsia"/>
                <w:color w:val="auto"/>
                <w:sz w:val="24"/>
              </w:rPr>
              <w:t>①</w:t>
            </w:r>
            <w:r>
              <w:rPr>
                <w:color w:val="auto"/>
                <w:sz w:val="24"/>
              </w:rPr>
              <w:t>对环境空气的影响：</w:t>
            </w:r>
          </w:p>
          <w:p w14:paraId="52DE227F">
            <w:pPr>
              <w:widowControl/>
              <w:adjustRightInd w:val="0"/>
              <w:snapToGrid w:val="0"/>
              <w:ind w:firstLine="480" w:firstLineChars="200"/>
              <w:jc w:val="left"/>
              <w:rPr>
                <w:color w:val="auto"/>
                <w:sz w:val="24"/>
              </w:rPr>
            </w:pPr>
            <w:r>
              <w:rPr>
                <w:color w:val="auto"/>
                <w:sz w:val="24"/>
              </w:rPr>
              <w:t>液态挥发性危险废物均是以密封的桶装包装贮存，有效减少挥发性物质对环境空气的影响。</w:t>
            </w:r>
          </w:p>
          <w:p w14:paraId="2EDE48DD">
            <w:pPr>
              <w:widowControl/>
              <w:adjustRightInd w:val="0"/>
              <w:snapToGrid w:val="0"/>
              <w:ind w:firstLine="480" w:firstLineChars="200"/>
              <w:jc w:val="left"/>
              <w:rPr>
                <w:color w:val="auto"/>
                <w:sz w:val="24"/>
              </w:rPr>
            </w:pPr>
            <w:r>
              <w:rPr>
                <w:rFonts w:hint="eastAsia"/>
                <w:color w:val="auto"/>
                <w:sz w:val="24"/>
              </w:rPr>
              <w:t>②</w:t>
            </w:r>
            <w:r>
              <w:rPr>
                <w:color w:val="auto"/>
                <w:sz w:val="24"/>
              </w:rPr>
              <w:t>对地表水的影响：</w:t>
            </w:r>
          </w:p>
          <w:p w14:paraId="209E2140">
            <w:pPr>
              <w:widowControl/>
              <w:adjustRightInd w:val="0"/>
              <w:snapToGrid w:val="0"/>
              <w:ind w:firstLine="480" w:firstLineChars="200"/>
              <w:jc w:val="left"/>
              <w:rPr>
                <w:color w:val="auto"/>
                <w:sz w:val="24"/>
              </w:rPr>
            </w:pPr>
            <w:r>
              <w:rPr>
                <w:rFonts w:hint="eastAsia"/>
                <w:color w:val="auto"/>
                <w:sz w:val="24"/>
              </w:rPr>
              <w:t>危废仓库</w:t>
            </w:r>
            <w:r>
              <w:rPr>
                <w:color w:val="auto"/>
                <w:sz w:val="24"/>
              </w:rPr>
              <w:t>具有防雨、防漏、防渗措施，当事故发生时，不会产生废液进入厂区雨水系统，对周边地表水产生不良影响。</w:t>
            </w:r>
          </w:p>
          <w:p w14:paraId="6D6E5B5B">
            <w:pPr>
              <w:widowControl/>
              <w:adjustRightInd w:val="0"/>
              <w:snapToGrid w:val="0"/>
              <w:ind w:firstLine="480" w:firstLineChars="200"/>
              <w:jc w:val="left"/>
              <w:rPr>
                <w:color w:val="auto"/>
                <w:sz w:val="24"/>
              </w:rPr>
            </w:pPr>
            <w:r>
              <w:rPr>
                <w:rFonts w:hint="eastAsia"/>
                <w:color w:val="auto"/>
                <w:sz w:val="24"/>
              </w:rPr>
              <w:t>③</w:t>
            </w:r>
            <w:r>
              <w:rPr>
                <w:color w:val="auto"/>
                <w:sz w:val="24"/>
              </w:rPr>
              <w:t>对地下水的影响：</w:t>
            </w:r>
          </w:p>
          <w:p w14:paraId="3DB39A5C">
            <w:pPr>
              <w:widowControl/>
              <w:adjustRightInd w:val="0"/>
              <w:snapToGrid w:val="0"/>
              <w:ind w:firstLine="480" w:firstLineChars="200"/>
              <w:jc w:val="left"/>
              <w:rPr>
                <w:color w:val="auto"/>
                <w:sz w:val="24"/>
              </w:rPr>
            </w:pPr>
            <w:r>
              <w:rPr>
                <w:rFonts w:hint="eastAsia"/>
                <w:color w:val="auto"/>
                <w:sz w:val="24"/>
              </w:rPr>
              <w:t>危废仓库</w:t>
            </w:r>
            <w:r>
              <w:rPr>
                <w:color w:val="auto"/>
                <w:sz w:val="24"/>
              </w:rPr>
              <w:t>应按照《危险废物贮存污染控制标准》（GB18597-2023）要求，进行防腐、防渗，暂存场所地面铺设等效2mm厚高密度聚乙烯防渗层，渗透系数≤10</w:t>
            </w:r>
            <w:r>
              <w:rPr>
                <w:color w:val="auto"/>
                <w:sz w:val="24"/>
                <w:vertAlign w:val="superscript"/>
              </w:rPr>
              <w:t>-10</w:t>
            </w:r>
            <w:r>
              <w:rPr>
                <w:color w:val="auto"/>
                <w:sz w:val="24"/>
              </w:rPr>
              <w:t>cm/s，设集液托盘，正常情况下不会泄漏至室外污染土壤和地下水，不会对区域地下水环境产生影响。</w:t>
            </w:r>
          </w:p>
          <w:p w14:paraId="2E358F45">
            <w:pPr>
              <w:widowControl/>
              <w:adjustRightInd w:val="0"/>
              <w:snapToGrid w:val="0"/>
              <w:ind w:firstLine="480" w:firstLineChars="200"/>
              <w:jc w:val="left"/>
              <w:rPr>
                <w:color w:val="auto"/>
                <w:sz w:val="24"/>
              </w:rPr>
            </w:pPr>
            <w:r>
              <w:rPr>
                <w:rFonts w:hint="eastAsia"/>
                <w:color w:val="auto"/>
                <w:sz w:val="24"/>
              </w:rPr>
              <w:t>④</w:t>
            </w:r>
            <w:r>
              <w:rPr>
                <w:color w:val="auto"/>
                <w:sz w:val="24"/>
              </w:rPr>
              <w:t>对环境敏感保护目标的影响：</w:t>
            </w:r>
          </w:p>
          <w:p w14:paraId="57C6075B">
            <w:pPr>
              <w:widowControl/>
              <w:adjustRightInd w:val="0"/>
              <w:snapToGrid w:val="0"/>
              <w:ind w:firstLine="480" w:firstLineChars="200"/>
              <w:jc w:val="left"/>
              <w:rPr>
                <w:color w:val="auto"/>
                <w:sz w:val="24"/>
              </w:rPr>
            </w:pPr>
            <w:r>
              <w:rPr>
                <w:rFonts w:hint="eastAsia"/>
                <w:color w:val="auto"/>
                <w:sz w:val="24"/>
              </w:rPr>
              <w:t>企业</w:t>
            </w:r>
            <w:r>
              <w:rPr>
                <w:color w:val="auto"/>
                <w:sz w:val="24"/>
              </w:rPr>
              <w:t>暂存的危险废物都按要求妥善保管，暂存场地地面按控制标准的要求做了防渗漏处理，一旦发生泄漏事故及时采取控制措施，环境风险水平在可控制范围内。</w:t>
            </w:r>
          </w:p>
          <w:p w14:paraId="63151E39">
            <w:pPr>
              <w:widowControl/>
              <w:adjustRightInd w:val="0"/>
              <w:snapToGrid w:val="0"/>
              <w:ind w:firstLine="480" w:firstLineChars="200"/>
              <w:jc w:val="left"/>
              <w:rPr>
                <w:color w:val="auto"/>
                <w:sz w:val="24"/>
              </w:rPr>
            </w:pPr>
            <w:r>
              <w:rPr>
                <w:color w:val="auto"/>
                <w:sz w:val="24"/>
              </w:rPr>
              <w:t>综上，</w:t>
            </w:r>
            <w:r>
              <w:rPr>
                <w:rFonts w:hint="eastAsia"/>
                <w:color w:val="auto"/>
                <w:sz w:val="24"/>
              </w:rPr>
              <w:t>本项目</w:t>
            </w:r>
            <w:r>
              <w:rPr>
                <w:color w:val="auto"/>
                <w:sz w:val="24"/>
              </w:rPr>
              <w:t>危废发生少量泄漏事件，可及时收集，能及时处置，影响不会扩散，能够控制厂区内，环境风险可接受。</w:t>
            </w:r>
          </w:p>
          <w:p w14:paraId="3C356DB0">
            <w:pPr>
              <w:widowControl/>
              <w:adjustRightInd w:val="0"/>
              <w:snapToGrid w:val="0"/>
              <w:jc w:val="left"/>
              <w:rPr>
                <w:b/>
                <w:bCs/>
                <w:color w:val="auto"/>
                <w:sz w:val="24"/>
                <w:szCs w:val="24"/>
              </w:rPr>
            </w:pPr>
            <w:r>
              <w:rPr>
                <w:b/>
                <w:bCs/>
                <w:color w:val="auto"/>
                <w:sz w:val="24"/>
                <w:szCs w:val="24"/>
              </w:rPr>
              <w:t>4.1</w:t>
            </w:r>
            <w:r>
              <w:rPr>
                <w:rFonts w:hint="eastAsia"/>
                <w:b/>
                <w:bCs/>
                <w:color w:val="auto"/>
                <w:sz w:val="24"/>
                <w:szCs w:val="24"/>
              </w:rPr>
              <w:t>0</w:t>
            </w:r>
            <w:r>
              <w:rPr>
                <w:b/>
                <w:bCs/>
                <w:color w:val="auto"/>
                <w:sz w:val="24"/>
                <w:szCs w:val="24"/>
              </w:rPr>
              <w:t>固体废物环境管理与监测</w:t>
            </w:r>
          </w:p>
          <w:p w14:paraId="68BDD1E0">
            <w:pPr>
              <w:adjustRightInd w:val="0"/>
              <w:snapToGrid w:val="0"/>
              <w:ind w:firstLine="480" w:firstLineChars="200"/>
              <w:rPr>
                <w:color w:val="auto"/>
                <w:sz w:val="24"/>
              </w:rPr>
            </w:pPr>
            <w:r>
              <w:rPr>
                <w:color w:val="auto"/>
                <w:sz w:val="24"/>
              </w:rPr>
              <w:t>项目建成后，公司将危险废物的实际产生、贮存、利用、处置等情况纳入生产记录，建立危险废物管理台账和企业内部产生和收集、贮存、转移等部门危险废物交接制度。</w:t>
            </w:r>
          </w:p>
          <w:p w14:paraId="55296F84">
            <w:pPr>
              <w:adjustRightInd w:val="0"/>
              <w:snapToGrid w:val="0"/>
              <w:ind w:firstLine="480" w:firstLineChars="200"/>
              <w:rPr>
                <w:color w:val="auto"/>
                <w:sz w:val="24"/>
              </w:rPr>
            </w:pPr>
            <w:r>
              <w:rPr>
                <w:color w:val="auto"/>
                <w:sz w:val="24"/>
              </w:rPr>
              <w:t>公司为固体废物污染防治的责任主体，企业应建立风险管理及应急救援体系，执行环境监测计划、转移联单管理制度及国家和省有关转移管理的相关规定、处置过程安全操作规程、人员培训考核制度、档案管理制度、处置全过程管理制度等。</w:t>
            </w:r>
          </w:p>
          <w:p w14:paraId="31A7FF6F">
            <w:pPr>
              <w:adjustRightInd w:val="0"/>
              <w:snapToGrid w:val="0"/>
              <w:ind w:firstLine="480" w:firstLineChars="200"/>
              <w:rPr>
                <w:color w:val="auto"/>
                <w:sz w:val="24"/>
              </w:rPr>
            </w:pPr>
            <w:r>
              <w:rPr>
                <w:color w:val="auto"/>
                <w:sz w:val="24"/>
              </w:rPr>
              <w:t>规范建设危废仓库所按照《危险废物贮存污染控制标准》（GB18597-2023）有关要求张贴标识。将生产过程中产生的废物及时收集，保持车间的整洁，收集后集中堆放。</w:t>
            </w:r>
          </w:p>
          <w:p w14:paraId="14FF0F0E">
            <w:pPr>
              <w:adjustRightInd w:val="0"/>
              <w:snapToGrid w:val="0"/>
              <w:ind w:firstLine="480" w:firstLineChars="200"/>
              <w:rPr>
                <w:color w:val="auto"/>
                <w:sz w:val="24"/>
              </w:rPr>
            </w:pPr>
            <w:r>
              <w:rPr>
                <w:color w:val="auto"/>
                <w:sz w:val="24"/>
              </w:rPr>
              <w:t>项目所产生的固体废物通过以上方法处理处置后，将不会对周围的环境产生影响，亦不会造成二次污染。但必须指出的是，固体废物处理处置前在厂内的堆放、贮存场所应按照国家固体废物贮存有关要求设置，避免其对周围环境产生二次污染。通过以上措施，建设项目产生的固体废物均得到了妥善处置和利用，对外环境的影响可减至最小程度。</w:t>
            </w:r>
          </w:p>
          <w:p w14:paraId="17F15BBD">
            <w:pPr>
              <w:adjustRightInd w:val="0"/>
              <w:snapToGrid w:val="0"/>
              <w:rPr>
                <w:color w:val="auto"/>
                <w:sz w:val="24"/>
                <w:szCs w:val="24"/>
              </w:rPr>
            </w:pPr>
            <w:r>
              <w:rPr>
                <w:b/>
                <w:bCs/>
                <w:color w:val="auto"/>
                <w:sz w:val="24"/>
                <w:szCs w:val="24"/>
              </w:rPr>
              <w:t>5、地下水、土壤</w:t>
            </w:r>
          </w:p>
          <w:p w14:paraId="2159185C">
            <w:pPr>
              <w:adjustRightInd w:val="0"/>
              <w:snapToGrid w:val="0"/>
              <w:ind w:firstLine="480" w:firstLineChars="200"/>
              <w:rPr>
                <w:color w:val="auto"/>
                <w:sz w:val="24"/>
              </w:rPr>
            </w:pPr>
            <w:r>
              <w:rPr>
                <w:color w:val="auto"/>
                <w:sz w:val="24"/>
              </w:rPr>
              <w:t>防渗处理是防止地下水污染的重要</w:t>
            </w:r>
            <w:r>
              <w:rPr>
                <w:rFonts w:hint="eastAsia"/>
                <w:color w:val="auto"/>
                <w:sz w:val="24"/>
              </w:rPr>
              <w:t>环境</w:t>
            </w:r>
            <w:r>
              <w:rPr>
                <w:color w:val="auto"/>
                <w:sz w:val="24"/>
              </w:rPr>
              <w:t>保护措施，也是杜绝地下水</w:t>
            </w:r>
            <w:r>
              <w:rPr>
                <w:rFonts w:hint="eastAsia"/>
                <w:color w:val="auto"/>
                <w:sz w:val="24"/>
              </w:rPr>
              <w:t>、土壤</w:t>
            </w:r>
            <w:r>
              <w:rPr>
                <w:color w:val="auto"/>
                <w:sz w:val="24"/>
              </w:rPr>
              <w:t>污染的最后一道防线，依据项目区域水文地质情况及项目特点，提出如下污染防治措施及防渗要求。</w:t>
            </w:r>
          </w:p>
          <w:p w14:paraId="72084BD3">
            <w:pPr>
              <w:adjustRightInd w:val="0"/>
              <w:snapToGrid w:val="0"/>
              <w:ind w:firstLine="480" w:firstLineChars="200"/>
              <w:rPr>
                <w:color w:val="auto"/>
                <w:sz w:val="24"/>
              </w:rPr>
            </w:pPr>
            <w:r>
              <w:rPr>
                <w:rFonts w:hint="eastAsia"/>
                <w:color w:val="auto"/>
                <w:sz w:val="24"/>
              </w:rPr>
              <w:t>本项目</w:t>
            </w:r>
            <w:r>
              <w:rPr>
                <w:color w:val="auto"/>
                <w:sz w:val="24"/>
              </w:rPr>
              <w:t>厂区应划分为重点防渗区</w:t>
            </w:r>
            <w:r>
              <w:rPr>
                <w:rFonts w:hint="eastAsia"/>
                <w:color w:val="auto"/>
                <w:sz w:val="24"/>
              </w:rPr>
              <w:t>、</w:t>
            </w:r>
            <w:r>
              <w:rPr>
                <w:color w:val="auto"/>
                <w:sz w:val="24"/>
              </w:rPr>
              <w:t>一般防渗区</w:t>
            </w:r>
            <w:r>
              <w:rPr>
                <w:rFonts w:hint="eastAsia"/>
                <w:color w:val="auto"/>
                <w:sz w:val="24"/>
              </w:rPr>
              <w:t>和简单防渗区</w:t>
            </w:r>
            <w:r>
              <w:rPr>
                <w:color w:val="auto"/>
                <w:sz w:val="24"/>
              </w:rPr>
              <w:t>，不同的污染物区，采取不同等级的防渗措施，并确保其可靠性和有效性。防渗</w:t>
            </w:r>
            <w:r>
              <w:rPr>
                <w:rFonts w:hint="eastAsia"/>
                <w:color w:val="auto"/>
                <w:sz w:val="24"/>
              </w:rPr>
              <w:t>技术参数</w:t>
            </w:r>
            <w:r>
              <w:rPr>
                <w:color w:val="auto"/>
                <w:sz w:val="24"/>
              </w:rPr>
              <w:t>应满足</w:t>
            </w:r>
            <w:r>
              <w:rPr>
                <w:rFonts w:hint="eastAsia"/>
                <w:color w:val="auto"/>
                <w:sz w:val="24"/>
              </w:rPr>
              <w:t>《环境影响评价技术导则 地下水环境》（H</w:t>
            </w:r>
            <w:r>
              <w:rPr>
                <w:color w:val="auto"/>
                <w:sz w:val="24"/>
              </w:rPr>
              <w:t>J610-2016</w:t>
            </w:r>
            <w:r>
              <w:rPr>
                <w:rFonts w:hint="eastAsia"/>
                <w:color w:val="auto"/>
                <w:sz w:val="24"/>
              </w:rPr>
              <w:t>）中表7要求</w:t>
            </w:r>
            <w:r>
              <w:rPr>
                <w:color w:val="auto"/>
                <w:sz w:val="24"/>
              </w:rPr>
              <w:t>。</w:t>
            </w:r>
          </w:p>
          <w:p w14:paraId="48DFA74D">
            <w:pPr>
              <w:adjustRightInd w:val="0"/>
              <w:snapToGrid w:val="0"/>
              <w:rPr>
                <w:b/>
                <w:bCs/>
                <w:color w:val="auto"/>
                <w:sz w:val="24"/>
                <w:szCs w:val="24"/>
              </w:rPr>
            </w:pPr>
            <w:r>
              <w:rPr>
                <w:b/>
                <w:bCs/>
                <w:color w:val="auto"/>
                <w:sz w:val="24"/>
                <w:szCs w:val="24"/>
              </w:rPr>
              <w:t>6、生态</w:t>
            </w:r>
          </w:p>
          <w:p w14:paraId="47220598">
            <w:pPr>
              <w:pStyle w:val="13"/>
              <w:adjustRightInd w:val="0"/>
              <w:snapToGrid w:val="0"/>
              <w:spacing w:after="0"/>
              <w:ind w:left="0" w:leftChars="0" w:right="0" w:rightChars="0" w:firstLine="480" w:firstLineChars="200"/>
              <w:rPr>
                <w:color w:val="auto"/>
                <w:sz w:val="24"/>
                <w:szCs w:val="24"/>
              </w:rPr>
            </w:pPr>
            <w:r>
              <w:rPr>
                <w:color w:val="auto"/>
                <w:sz w:val="24"/>
                <w:szCs w:val="24"/>
              </w:rPr>
              <w:t>本项目不属于产业园区外新增用地项目，且用地范围内无生态环境保护目标，因此不涉及生态环境影响。</w:t>
            </w:r>
          </w:p>
          <w:p w14:paraId="7F3D8323">
            <w:pPr>
              <w:adjustRightInd w:val="0"/>
              <w:snapToGrid w:val="0"/>
              <w:rPr>
                <w:b/>
                <w:bCs/>
                <w:color w:val="auto"/>
                <w:sz w:val="24"/>
                <w:szCs w:val="24"/>
              </w:rPr>
            </w:pPr>
            <w:r>
              <w:rPr>
                <w:b/>
                <w:bCs/>
                <w:color w:val="auto"/>
                <w:sz w:val="24"/>
                <w:szCs w:val="24"/>
              </w:rPr>
              <w:t>7、环境风险</w:t>
            </w:r>
          </w:p>
          <w:p w14:paraId="75DCDDA2">
            <w:pPr>
              <w:pStyle w:val="13"/>
              <w:adjustRightInd w:val="0"/>
              <w:snapToGrid w:val="0"/>
              <w:spacing w:after="0"/>
              <w:ind w:left="0" w:leftChars="0" w:right="0" w:rightChars="0"/>
              <w:rPr>
                <w:b/>
                <w:bCs/>
                <w:color w:val="auto"/>
                <w:sz w:val="24"/>
                <w:szCs w:val="24"/>
              </w:rPr>
            </w:pPr>
            <w:r>
              <w:rPr>
                <w:b/>
                <w:bCs/>
                <w:color w:val="auto"/>
                <w:sz w:val="24"/>
                <w:szCs w:val="24"/>
              </w:rPr>
              <w:t>7.1风险物质</w:t>
            </w:r>
          </w:p>
          <w:p w14:paraId="352F7CE0">
            <w:pPr>
              <w:pStyle w:val="44"/>
              <w:adjustRightInd w:val="0"/>
              <w:snapToGrid w:val="0"/>
              <w:ind w:firstLine="480"/>
              <w:rPr>
                <w:color w:val="auto"/>
                <w:sz w:val="24"/>
                <w:szCs w:val="24"/>
              </w:rPr>
            </w:pPr>
            <w:r>
              <w:rPr>
                <w:color w:val="auto"/>
                <w:sz w:val="24"/>
                <w:szCs w:val="24"/>
              </w:rPr>
              <w:t>根据《建设项目环境风险评价技术导则》（HJ169-2018）中附录C，计算本项目所涉及的每种危险物质在厂界内的最大存在总量与其在附录B中对应临界量的比值Q。当只涉及一种危险物质时，计算该物质的总量与其临界量比值，即为Q；当存在多种危险物质时，则按下式计算物质总量与其临界量比值（Q）；</w:t>
            </w:r>
          </w:p>
          <w:p w14:paraId="79D65BF0">
            <w:pPr>
              <w:adjustRightInd w:val="0"/>
              <w:snapToGrid w:val="0"/>
              <w:ind w:firstLine="480" w:firstLineChars="200"/>
              <w:jc w:val="center"/>
              <w:rPr>
                <w:color w:val="auto"/>
                <w:sz w:val="24"/>
                <w:szCs w:val="24"/>
              </w:rPr>
            </w:pPr>
            <w:r>
              <w:rPr>
                <w:color w:val="auto"/>
                <w:sz w:val="24"/>
                <w:szCs w:val="24"/>
              </w:rPr>
              <w:drawing>
                <wp:inline distT="0" distB="0" distL="114300" distR="114300">
                  <wp:extent cx="1958340" cy="624840"/>
                  <wp:effectExtent l="0" t="0" r="3810" b="3810"/>
                  <wp:docPr id="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1"/>
                          <pic:cNvPicPr>
                            <a:picLocks noChangeAspect="1"/>
                          </pic:cNvPicPr>
                        </pic:nvPicPr>
                        <pic:blipFill>
                          <a:blip r:embed="rId18"/>
                          <a:stretch>
                            <a:fillRect/>
                          </a:stretch>
                        </pic:blipFill>
                        <pic:spPr>
                          <a:xfrm>
                            <a:off x="0" y="0"/>
                            <a:ext cx="1958340" cy="624840"/>
                          </a:xfrm>
                          <a:prstGeom prst="rect">
                            <a:avLst/>
                          </a:prstGeom>
                          <a:noFill/>
                          <a:ln>
                            <a:noFill/>
                          </a:ln>
                        </pic:spPr>
                      </pic:pic>
                    </a:graphicData>
                  </a:graphic>
                </wp:inline>
              </w:drawing>
            </w:r>
          </w:p>
          <w:p w14:paraId="2F91F9BA">
            <w:pPr>
              <w:adjustRightInd w:val="0"/>
              <w:snapToGrid w:val="0"/>
              <w:ind w:firstLine="480" w:firstLineChars="200"/>
              <w:rPr>
                <w:color w:val="auto"/>
                <w:sz w:val="24"/>
                <w:szCs w:val="24"/>
              </w:rPr>
            </w:pPr>
            <w:r>
              <w:rPr>
                <w:color w:val="auto"/>
                <w:sz w:val="24"/>
                <w:szCs w:val="24"/>
              </w:rPr>
              <w:t>式中：q1，q2，…，qn——每种危险物质的最大存在总量，t；</w:t>
            </w:r>
          </w:p>
          <w:p w14:paraId="0E263202">
            <w:pPr>
              <w:adjustRightInd w:val="0"/>
              <w:snapToGrid w:val="0"/>
              <w:ind w:firstLine="480" w:firstLineChars="200"/>
              <w:rPr>
                <w:color w:val="auto"/>
                <w:sz w:val="24"/>
                <w:szCs w:val="24"/>
              </w:rPr>
            </w:pPr>
            <w:r>
              <w:rPr>
                <w:color w:val="auto"/>
                <w:sz w:val="24"/>
                <w:szCs w:val="24"/>
              </w:rPr>
              <w:t>Q1，Q2，…，Qn——每种危险物质的临界量，t。</w:t>
            </w:r>
          </w:p>
          <w:p w14:paraId="6A593D9B">
            <w:pPr>
              <w:pStyle w:val="44"/>
              <w:adjustRightInd w:val="0"/>
              <w:snapToGrid w:val="0"/>
              <w:ind w:firstLine="480"/>
              <w:rPr>
                <w:color w:val="auto"/>
                <w:sz w:val="24"/>
                <w:szCs w:val="24"/>
              </w:rPr>
            </w:pPr>
            <w:r>
              <w:rPr>
                <w:color w:val="auto"/>
                <w:sz w:val="24"/>
                <w:szCs w:val="24"/>
              </w:rPr>
              <w:t>经筛选分析，本项目风险物质为</w:t>
            </w:r>
            <w:r>
              <w:rPr>
                <w:rFonts w:hint="eastAsia"/>
                <w:color w:val="auto"/>
                <w:sz w:val="24"/>
                <w:szCs w:val="24"/>
              </w:rPr>
              <w:t>废机油、</w:t>
            </w:r>
            <w:r>
              <w:rPr>
                <w:rFonts w:hint="eastAsia"/>
                <w:color w:val="auto"/>
                <w:sz w:val="24"/>
                <w:szCs w:val="24"/>
                <w:lang w:eastAsia="zh-CN"/>
              </w:rPr>
              <w:t>清洗废液</w:t>
            </w:r>
            <w:r>
              <w:rPr>
                <w:rFonts w:hint="eastAsia"/>
                <w:color w:val="auto"/>
                <w:sz w:val="24"/>
                <w:szCs w:val="24"/>
              </w:rPr>
              <w:t>、</w:t>
            </w:r>
            <w:r>
              <w:rPr>
                <w:color w:val="auto"/>
                <w:sz w:val="24"/>
                <w:szCs w:val="24"/>
              </w:rPr>
              <w:t>水性墨水</w:t>
            </w:r>
            <w:r>
              <w:rPr>
                <w:rFonts w:hint="eastAsia"/>
                <w:color w:val="auto"/>
                <w:sz w:val="24"/>
                <w:szCs w:val="24"/>
              </w:rPr>
              <w:t>、机油</w:t>
            </w:r>
            <w:r>
              <w:rPr>
                <w:rFonts w:hint="eastAsia"/>
                <w:color w:val="auto"/>
                <w:sz w:val="24"/>
                <w:szCs w:val="24"/>
                <w:lang w:eastAsia="zh-CN"/>
              </w:rPr>
              <w:t>、</w:t>
            </w:r>
            <w:r>
              <w:rPr>
                <w:rFonts w:hint="eastAsia"/>
                <w:color w:val="auto"/>
                <w:sz w:val="24"/>
                <w:szCs w:val="24"/>
                <w:lang w:val="en-US" w:eastAsia="zh-CN"/>
              </w:rPr>
              <w:t>废活性炭</w:t>
            </w:r>
            <w:r>
              <w:rPr>
                <w:color w:val="auto"/>
                <w:sz w:val="24"/>
                <w:szCs w:val="24"/>
              </w:rPr>
              <w:t>。</w:t>
            </w:r>
          </w:p>
          <w:p w14:paraId="4CEA2EAA">
            <w:pPr>
              <w:pStyle w:val="13"/>
              <w:adjustRightInd w:val="0"/>
              <w:snapToGrid w:val="0"/>
              <w:spacing w:after="0"/>
              <w:ind w:left="0" w:leftChars="0" w:right="0" w:rightChars="0"/>
              <w:rPr>
                <w:b/>
                <w:bCs/>
                <w:color w:val="auto"/>
                <w:sz w:val="24"/>
                <w:szCs w:val="24"/>
              </w:rPr>
            </w:pPr>
            <w:r>
              <w:rPr>
                <w:b/>
                <w:bCs/>
                <w:color w:val="auto"/>
                <w:sz w:val="24"/>
                <w:szCs w:val="24"/>
              </w:rPr>
              <w:t>7.2风险源分布及影响途径</w:t>
            </w:r>
          </w:p>
          <w:p w14:paraId="6831C209">
            <w:pPr>
              <w:pStyle w:val="44"/>
              <w:adjustRightInd w:val="0"/>
              <w:snapToGrid w:val="0"/>
              <w:ind w:firstLine="480"/>
              <w:rPr>
                <w:color w:val="auto"/>
                <w:sz w:val="24"/>
                <w:szCs w:val="24"/>
              </w:rPr>
            </w:pPr>
            <w:r>
              <w:rPr>
                <w:color w:val="auto"/>
                <w:sz w:val="24"/>
                <w:szCs w:val="24"/>
              </w:rPr>
              <w:t>环境影响途径及危害后果为：</w:t>
            </w:r>
          </w:p>
          <w:p w14:paraId="57EDB786">
            <w:pPr>
              <w:pStyle w:val="44"/>
              <w:adjustRightInd w:val="0"/>
              <w:snapToGrid w:val="0"/>
              <w:ind w:firstLine="480"/>
              <w:rPr>
                <w:color w:val="auto"/>
                <w:sz w:val="24"/>
                <w:szCs w:val="24"/>
              </w:rPr>
            </w:pPr>
            <w:r>
              <w:rPr>
                <w:color w:val="auto"/>
                <w:sz w:val="24"/>
                <w:szCs w:val="24"/>
              </w:rPr>
              <w:t>（1）对大气的污染</w:t>
            </w:r>
          </w:p>
          <w:p w14:paraId="55A66ADE">
            <w:pPr>
              <w:adjustRightInd w:val="0"/>
              <w:snapToGrid w:val="0"/>
              <w:ind w:firstLine="480" w:firstLineChars="200"/>
              <w:rPr>
                <w:color w:val="auto"/>
                <w:sz w:val="24"/>
                <w:szCs w:val="24"/>
              </w:rPr>
            </w:pPr>
            <w:r>
              <w:rPr>
                <w:color w:val="auto"/>
                <w:sz w:val="24"/>
                <w:szCs w:val="24"/>
              </w:rPr>
              <w:t>建设项目运</w:t>
            </w:r>
            <w:r>
              <w:rPr>
                <w:rFonts w:ascii="Times New Roman" w:hAnsi="Times New Roman" w:eastAsia="宋体" w:cs="Times New Roman"/>
                <w:color w:val="auto"/>
                <w:sz w:val="24"/>
                <w:szCs w:val="24"/>
              </w:rPr>
              <w:t>营中有非甲烷总烃产生，若</w:t>
            </w:r>
            <w:r>
              <w:rPr>
                <w:rFonts w:hint="eastAsia" w:ascii="Times New Roman" w:hAnsi="Times New Roman" w:eastAsia="宋体" w:cs="Times New Roman"/>
                <w:color w:val="auto"/>
                <w:sz w:val="24"/>
                <w:szCs w:val="24"/>
                <w:lang w:val="en-US" w:eastAsia="zh-CN"/>
              </w:rPr>
              <w:t>二级活性炭</w:t>
            </w:r>
            <w:r>
              <w:rPr>
                <w:rFonts w:ascii="Times New Roman" w:hAnsi="Times New Roman" w:eastAsia="宋体" w:cs="Times New Roman"/>
                <w:color w:val="auto"/>
                <w:sz w:val="24"/>
                <w:szCs w:val="24"/>
              </w:rPr>
              <w:t>故障导致废气未经处理排放，将对周边大气</w:t>
            </w:r>
            <w:r>
              <w:rPr>
                <w:color w:val="auto"/>
                <w:sz w:val="24"/>
                <w:szCs w:val="24"/>
              </w:rPr>
              <w:t>环境造成污染；</w:t>
            </w:r>
            <w:r>
              <w:rPr>
                <w:rFonts w:hint="eastAsia"/>
                <w:color w:val="auto"/>
                <w:sz w:val="24"/>
                <w:szCs w:val="24"/>
              </w:rPr>
              <w:t>废机油、</w:t>
            </w:r>
            <w:r>
              <w:rPr>
                <w:rFonts w:hint="eastAsia"/>
                <w:color w:val="auto"/>
                <w:sz w:val="24"/>
                <w:szCs w:val="24"/>
                <w:lang w:eastAsia="zh-CN"/>
              </w:rPr>
              <w:t>清洗废液</w:t>
            </w:r>
            <w:r>
              <w:rPr>
                <w:rFonts w:hint="eastAsia"/>
                <w:color w:val="auto"/>
                <w:sz w:val="24"/>
                <w:szCs w:val="24"/>
              </w:rPr>
              <w:t>、</w:t>
            </w:r>
            <w:r>
              <w:rPr>
                <w:rFonts w:hint="eastAsia"/>
                <w:color w:val="auto"/>
                <w:sz w:val="24"/>
                <w:szCs w:val="24"/>
                <w:lang w:val="en-US" w:eastAsia="zh-CN"/>
              </w:rPr>
              <w:t>废活性炭</w:t>
            </w:r>
            <w:r>
              <w:rPr>
                <w:rFonts w:hint="eastAsia"/>
                <w:color w:val="auto"/>
                <w:sz w:val="24"/>
                <w:szCs w:val="24"/>
              </w:rPr>
              <w:t>、</w:t>
            </w:r>
            <w:r>
              <w:rPr>
                <w:color w:val="auto"/>
                <w:sz w:val="24"/>
                <w:szCs w:val="24"/>
              </w:rPr>
              <w:t>水性墨水可能会引发火灾，产生次生/伴生污染物CO等，会导致局部空气恶化。</w:t>
            </w:r>
          </w:p>
          <w:p w14:paraId="6C5EA2A8">
            <w:pPr>
              <w:pStyle w:val="44"/>
              <w:adjustRightInd w:val="0"/>
              <w:snapToGrid w:val="0"/>
              <w:ind w:firstLine="480"/>
              <w:rPr>
                <w:color w:val="auto"/>
                <w:sz w:val="24"/>
                <w:szCs w:val="24"/>
              </w:rPr>
            </w:pPr>
            <w:r>
              <w:rPr>
                <w:color w:val="auto"/>
                <w:sz w:val="24"/>
                <w:szCs w:val="24"/>
              </w:rPr>
              <w:t>（2）对水体的污染</w:t>
            </w:r>
          </w:p>
          <w:p w14:paraId="05930956">
            <w:pPr>
              <w:pStyle w:val="44"/>
              <w:adjustRightInd w:val="0"/>
              <w:snapToGrid w:val="0"/>
              <w:ind w:firstLine="480"/>
              <w:rPr>
                <w:color w:val="auto"/>
                <w:sz w:val="24"/>
                <w:szCs w:val="24"/>
              </w:rPr>
            </w:pPr>
            <w:r>
              <w:rPr>
                <w:color w:val="auto"/>
                <w:sz w:val="24"/>
                <w:szCs w:val="24"/>
              </w:rPr>
              <w:t>燃烧后的物质因处理不当随污水流入就近河流或渗入地下，从而对水体和地下水体造成污染。燃烧后的物质较难分解，且在分级过程中易产生对环境有害的物质，并可能随水体进入生物链，产生生态影响。</w:t>
            </w:r>
          </w:p>
          <w:p w14:paraId="74D9D6EB">
            <w:pPr>
              <w:pStyle w:val="44"/>
              <w:adjustRightInd w:val="0"/>
              <w:snapToGrid w:val="0"/>
              <w:ind w:firstLine="480"/>
              <w:rPr>
                <w:color w:val="auto"/>
                <w:sz w:val="24"/>
                <w:szCs w:val="24"/>
              </w:rPr>
            </w:pPr>
            <w:r>
              <w:rPr>
                <w:color w:val="auto"/>
                <w:sz w:val="24"/>
                <w:szCs w:val="24"/>
              </w:rPr>
              <w:t>（3）对土壤、地下水的污染</w:t>
            </w:r>
          </w:p>
          <w:p w14:paraId="6416FBCA">
            <w:pPr>
              <w:adjustRightInd w:val="0"/>
              <w:snapToGrid w:val="0"/>
              <w:ind w:firstLine="480" w:firstLineChars="200"/>
              <w:rPr>
                <w:color w:val="auto"/>
                <w:kern w:val="0"/>
                <w:sz w:val="24"/>
                <w:szCs w:val="24"/>
              </w:rPr>
            </w:pPr>
            <w:r>
              <w:rPr>
                <w:rFonts w:hint="eastAsia"/>
                <w:color w:val="auto"/>
                <w:sz w:val="24"/>
                <w:szCs w:val="24"/>
              </w:rPr>
              <w:t>泄漏液、火灾消防水渗入厂区绿化带，</w:t>
            </w:r>
            <w:r>
              <w:rPr>
                <w:color w:val="auto"/>
                <w:sz w:val="24"/>
                <w:szCs w:val="24"/>
              </w:rPr>
              <w:t>会对土壤、地下水产生一定影响。</w:t>
            </w:r>
          </w:p>
          <w:p w14:paraId="60C66F7D">
            <w:pPr>
              <w:pStyle w:val="13"/>
              <w:adjustRightInd w:val="0"/>
              <w:snapToGrid w:val="0"/>
              <w:spacing w:after="0"/>
              <w:ind w:left="0" w:leftChars="0" w:right="0" w:rightChars="0"/>
              <w:rPr>
                <w:b/>
                <w:bCs/>
                <w:color w:val="auto"/>
                <w:sz w:val="24"/>
                <w:szCs w:val="24"/>
              </w:rPr>
            </w:pPr>
            <w:r>
              <w:rPr>
                <w:b/>
                <w:bCs/>
                <w:color w:val="auto"/>
                <w:sz w:val="24"/>
                <w:szCs w:val="24"/>
              </w:rPr>
              <w:t>7.3风险防范措施</w:t>
            </w:r>
          </w:p>
          <w:p w14:paraId="37AFF8F6">
            <w:pPr>
              <w:pStyle w:val="44"/>
              <w:adjustRightInd w:val="0"/>
              <w:snapToGrid w:val="0"/>
              <w:ind w:firstLine="480"/>
              <w:rPr>
                <w:color w:val="auto"/>
                <w:sz w:val="24"/>
                <w:szCs w:val="24"/>
              </w:rPr>
            </w:pPr>
            <w:r>
              <w:rPr>
                <w:color w:val="auto"/>
                <w:sz w:val="24"/>
                <w:szCs w:val="24"/>
              </w:rPr>
              <w:t>本项目拟采取以下的风险防范措施：</w:t>
            </w:r>
          </w:p>
          <w:p w14:paraId="74EEB414">
            <w:pPr>
              <w:pStyle w:val="44"/>
              <w:adjustRightInd w:val="0"/>
              <w:snapToGrid w:val="0"/>
              <w:ind w:firstLine="480"/>
              <w:rPr>
                <w:color w:val="auto"/>
                <w:sz w:val="24"/>
                <w:szCs w:val="24"/>
              </w:rPr>
            </w:pPr>
            <w:r>
              <w:rPr>
                <w:color w:val="auto"/>
                <w:sz w:val="24"/>
                <w:szCs w:val="24"/>
              </w:rPr>
              <w:t>（1）泄漏事故的防范措施</w:t>
            </w:r>
          </w:p>
          <w:p w14:paraId="047F64BF">
            <w:pPr>
              <w:pStyle w:val="44"/>
              <w:adjustRightInd w:val="0"/>
              <w:snapToGrid w:val="0"/>
              <w:ind w:firstLine="480"/>
              <w:rPr>
                <w:color w:val="auto"/>
                <w:sz w:val="24"/>
                <w:szCs w:val="24"/>
              </w:rPr>
            </w:pPr>
            <w:r>
              <w:rPr>
                <w:color w:val="auto"/>
                <w:sz w:val="24"/>
                <w:szCs w:val="24"/>
              </w:rPr>
              <w:t>加强物品运输车辆的管理，严格遵守危险品运输管理规定，避免运输过程事故的发生。</w:t>
            </w:r>
          </w:p>
          <w:p w14:paraId="2648A212">
            <w:pPr>
              <w:pStyle w:val="44"/>
              <w:adjustRightInd w:val="0"/>
              <w:snapToGrid w:val="0"/>
              <w:ind w:firstLine="480"/>
              <w:rPr>
                <w:color w:val="auto"/>
                <w:sz w:val="24"/>
                <w:szCs w:val="24"/>
              </w:rPr>
            </w:pPr>
            <w:r>
              <w:rPr>
                <w:color w:val="auto"/>
                <w:sz w:val="24"/>
                <w:szCs w:val="24"/>
              </w:rPr>
              <w:t>发生泄漏事故后，最早发现者应立即通知部门负责人，并根据召集应急救援小组，及时采取一切办法控制泄漏蔓延。采取措施尽快堵漏，然后对泄漏物进行收集和暂存，阻止泄漏物料进入外环境。将泄漏的废液收集至储存桶内暂存，地面残留废液采用惰性材料吸附，收集的泄漏物委托有资质单位处置。</w:t>
            </w:r>
          </w:p>
          <w:p w14:paraId="4B7E463C">
            <w:pPr>
              <w:pStyle w:val="44"/>
              <w:adjustRightInd w:val="0"/>
              <w:snapToGrid w:val="0"/>
              <w:ind w:firstLine="480"/>
              <w:rPr>
                <w:color w:val="auto"/>
                <w:sz w:val="24"/>
                <w:szCs w:val="24"/>
              </w:rPr>
            </w:pPr>
            <w:r>
              <w:rPr>
                <w:color w:val="auto"/>
                <w:sz w:val="24"/>
                <w:szCs w:val="24"/>
              </w:rPr>
              <w:t>（2）安全生产管理系统</w:t>
            </w:r>
          </w:p>
          <w:p w14:paraId="46594064">
            <w:pPr>
              <w:pStyle w:val="44"/>
              <w:adjustRightInd w:val="0"/>
              <w:snapToGrid w:val="0"/>
              <w:ind w:firstLine="480"/>
              <w:rPr>
                <w:color w:val="auto"/>
                <w:sz w:val="24"/>
                <w:szCs w:val="24"/>
              </w:rPr>
            </w:pPr>
            <w:r>
              <w:rPr>
                <w:color w:val="auto"/>
                <w:sz w:val="24"/>
                <w:szCs w:val="24"/>
              </w:rPr>
              <w:t>项目投产后，建设单位在安全生产方面制定一系列的安全生产管理制度。健全安全生产责任机制，建立各岗位的安全操作规程，技术规程，设置安全管理机构，成立企业安全生产领导小组和配备专职安全生产管理人员。制定规章制度的主要有：安全教育和培训制度、劳动防护用品和保健品发放管理制度、安全检修制度、安全设施和设备管理制度、安全检查和隐患管理制度、危险化学品安全管理制度、作业场所职业卫生管理制度、事故管理制度，并定期对职工进行体检，建立职工健康档案。</w:t>
            </w:r>
          </w:p>
          <w:p w14:paraId="690818F0">
            <w:pPr>
              <w:adjustRightInd w:val="0"/>
              <w:snapToGrid w:val="0"/>
              <w:ind w:firstLine="480" w:firstLineChars="200"/>
              <w:rPr>
                <w:color w:val="auto"/>
                <w:sz w:val="24"/>
                <w:szCs w:val="24"/>
              </w:rPr>
            </w:pPr>
            <w:r>
              <w:rPr>
                <w:color w:val="auto"/>
                <w:sz w:val="24"/>
                <w:szCs w:val="24"/>
              </w:rPr>
              <w:t>（3）火灾事故风险防范措施</w:t>
            </w:r>
          </w:p>
          <w:p w14:paraId="76B19C81">
            <w:pPr>
              <w:adjustRightInd w:val="0"/>
              <w:snapToGrid w:val="0"/>
              <w:ind w:firstLine="480" w:firstLineChars="200"/>
              <w:rPr>
                <w:color w:val="auto"/>
                <w:sz w:val="24"/>
                <w:szCs w:val="24"/>
              </w:rPr>
            </w:pPr>
            <w:r>
              <w:rPr>
                <w:color w:val="auto"/>
                <w:sz w:val="24"/>
                <w:szCs w:val="24"/>
              </w:rPr>
              <w:t>操作工或负责人及时进行判断，向全体工作人员和上司通报发生火灾的详细情况。</w:t>
            </w:r>
            <w:r>
              <w:rPr>
                <w:rFonts w:hint="eastAsia"/>
                <w:color w:val="auto"/>
                <w:sz w:val="24"/>
                <w:szCs w:val="24"/>
              </w:rPr>
              <w:t>依据</w:t>
            </w:r>
            <w:r>
              <w:rPr>
                <w:color w:val="auto"/>
                <w:sz w:val="24"/>
                <w:szCs w:val="24"/>
              </w:rPr>
              <w:t>《异常发生的处置操作规程》中止各工序的作业。</w:t>
            </w:r>
          </w:p>
          <w:p w14:paraId="16CE0198">
            <w:pPr>
              <w:adjustRightInd w:val="0"/>
              <w:snapToGrid w:val="0"/>
              <w:ind w:firstLine="480" w:firstLineChars="200"/>
              <w:rPr>
                <w:color w:val="auto"/>
                <w:sz w:val="24"/>
                <w:szCs w:val="24"/>
              </w:rPr>
            </w:pPr>
            <w:r>
              <w:rPr>
                <w:color w:val="auto"/>
                <w:sz w:val="24"/>
                <w:szCs w:val="24"/>
              </w:rPr>
              <w:t>将抢救伤员放在首位，发现负伤者，将其向安全场所转移的同时，迅速向上司报告，寻求救护。</w:t>
            </w:r>
          </w:p>
          <w:p w14:paraId="781FDA17">
            <w:pPr>
              <w:adjustRightInd w:val="0"/>
              <w:snapToGrid w:val="0"/>
              <w:ind w:firstLine="480" w:firstLineChars="200"/>
              <w:rPr>
                <w:color w:val="auto"/>
                <w:sz w:val="24"/>
                <w:szCs w:val="24"/>
              </w:rPr>
            </w:pPr>
            <w:r>
              <w:rPr>
                <w:color w:val="auto"/>
                <w:sz w:val="24"/>
                <w:szCs w:val="24"/>
              </w:rPr>
              <w:t>根据火灾情况，由当班负责人会同上司组成临时消防班，根据物料性质选择灭火方式：遇湿易燃物品禁用水。此活动要以救出人命和灭火为优先，并立即与上司进行联系，如判断有可能造成人身伤害和爆炸时，应立即撤离到安全的地区，同时由总务人事部门或安全负责人根据火灾状况向邻近消防队发出求援信息，必要时向邻近企业发出临时避难请求，使用二氧化碳灭火器的必须开门，防止缺氧。</w:t>
            </w:r>
          </w:p>
          <w:p w14:paraId="78FE9532">
            <w:pPr>
              <w:adjustRightInd w:val="0"/>
              <w:snapToGrid w:val="0"/>
              <w:ind w:firstLine="480" w:firstLineChars="200"/>
              <w:rPr>
                <w:color w:val="auto"/>
                <w:sz w:val="24"/>
                <w:szCs w:val="24"/>
              </w:rPr>
            </w:pPr>
            <w:r>
              <w:rPr>
                <w:color w:val="auto"/>
                <w:sz w:val="24"/>
                <w:szCs w:val="24"/>
              </w:rPr>
              <w:t>在消防部门到达后，公司应急救援总指挥和现场总指挥及时向消防部门汇报情况，配合消防部门进行灭火工作，此时指挥权由消防部门担任，所有人员应服从消防部门的指挥。</w:t>
            </w:r>
          </w:p>
          <w:p w14:paraId="59AE8E48">
            <w:pPr>
              <w:adjustRightInd w:val="0"/>
              <w:snapToGrid w:val="0"/>
              <w:ind w:firstLine="480" w:firstLineChars="200"/>
              <w:rPr>
                <w:color w:val="auto"/>
                <w:sz w:val="24"/>
                <w:szCs w:val="24"/>
              </w:rPr>
            </w:pPr>
            <w:r>
              <w:rPr>
                <w:color w:val="auto"/>
                <w:sz w:val="24"/>
                <w:szCs w:val="24"/>
              </w:rPr>
              <w:t>在灭火过程中建议：A、如有可能，转移未着火的容器。防止包装破损，引起环境污染。B、选择合适的事故废水收集和应急储存设施收容消防废水，防止流入雨水管网进入河流。</w:t>
            </w:r>
          </w:p>
          <w:p w14:paraId="18954862">
            <w:pPr>
              <w:numPr>
                <w:ilvl w:val="0"/>
                <w:numId w:val="3"/>
              </w:numPr>
              <w:adjustRightInd w:val="0"/>
              <w:snapToGrid w:val="0"/>
              <w:ind w:firstLine="480" w:firstLineChars="200"/>
              <w:rPr>
                <w:color w:val="auto"/>
                <w:sz w:val="24"/>
                <w:szCs w:val="24"/>
              </w:rPr>
            </w:pPr>
            <w:r>
              <w:rPr>
                <w:color w:val="auto"/>
                <w:sz w:val="24"/>
                <w:szCs w:val="24"/>
              </w:rPr>
              <w:t>危险废物的环境风险防范措施</w:t>
            </w:r>
          </w:p>
          <w:p w14:paraId="3206A47B">
            <w:pPr>
              <w:adjustRightInd w:val="0"/>
              <w:snapToGrid w:val="0"/>
              <w:ind w:firstLine="480" w:firstLineChars="200"/>
              <w:rPr>
                <w:color w:val="auto"/>
                <w:sz w:val="24"/>
                <w:szCs w:val="24"/>
              </w:rPr>
            </w:pPr>
            <w:r>
              <w:rPr>
                <w:color w:val="auto"/>
                <w:sz w:val="24"/>
                <w:szCs w:val="24"/>
              </w:rPr>
              <w:t>加强管理工作，设专人负责危险废物的安全贮存、厂区内运输以及使用。</w:t>
            </w:r>
          </w:p>
          <w:p w14:paraId="43E0C419">
            <w:pPr>
              <w:adjustRightInd w:val="0"/>
              <w:snapToGrid w:val="0"/>
              <w:ind w:firstLine="480" w:firstLineChars="200"/>
              <w:rPr>
                <w:color w:val="auto"/>
                <w:sz w:val="24"/>
                <w:szCs w:val="24"/>
              </w:rPr>
            </w:pPr>
            <w:r>
              <w:rPr>
                <w:color w:val="auto"/>
                <w:sz w:val="24"/>
                <w:szCs w:val="24"/>
              </w:rPr>
              <w:t>（5）事故应急池</w:t>
            </w:r>
          </w:p>
          <w:p w14:paraId="20CFBC84">
            <w:pPr>
              <w:adjustRightInd w:val="0"/>
              <w:snapToGrid w:val="0"/>
              <w:ind w:firstLine="480" w:firstLineChars="200"/>
              <w:rPr>
                <w:color w:val="auto"/>
                <w:sz w:val="24"/>
                <w:szCs w:val="24"/>
              </w:rPr>
            </w:pPr>
            <w:r>
              <w:rPr>
                <w:color w:val="auto"/>
                <w:sz w:val="24"/>
                <w:szCs w:val="24"/>
              </w:rPr>
              <w:t>根据《化工建设项目环境保护设计规范》（GB50483-2019），应急事故水池应考虑多种因素确定。</w:t>
            </w:r>
          </w:p>
          <w:p w14:paraId="5C7FC7BA">
            <w:pPr>
              <w:adjustRightInd w:val="0"/>
              <w:snapToGrid w:val="0"/>
              <w:ind w:firstLine="480" w:firstLineChars="200"/>
              <w:rPr>
                <w:color w:val="auto"/>
                <w:sz w:val="24"/>
                <w:szCs w:val="24"/>
              </w:rPr>
            </w:pPr>
            <w:r>
              <w:rPr>
                <w:color w:val="auto"/>
                <w:sz w:val="24"/>
                <w:szCs w:val="24"/>
              </w:rPr>
              <w:t>应急事故废水最大量的确定采用公式法计算，具体算法如下：</w:t>
            </w:r>
          </w:p>
          <w:p w14:paraId="2D1E181E">
            <w:pPr>
              <w:adjustRightInd w:val="0"/>
              <w:snapToGrid w:val="0"/>
              <w:ind w:firstLine="480" w:firstLineChars="200"/>
              <w:jc w:val="center"/>
              <w:rPr>
                <w:color w:val="auto"/>
                <w:sz w:val="24"/>
                <w:szCs w:val="24"/>
              </w:rPr>
            </w:pPr>
            <w:r>
              <w:rPr>
                <w:color w:val="auto"/>
                <w:sz w:val="24"/>
                <w:szCs w:val="24"/>
              </w:rPr>
              <w:t>V</w:t>
            </w:r>
            <w:r>
              <w:rPr>
                <w:color w:val="auto"/>
                <w:sz w:val="24"/>
                <w:szCs w:val="24"/>
                <w:vertAlign w:val="subscript"/>
              </w:rPr>
              <w:t>总</w:t>
            </w:r>
            <w:r>
              <w:rPr>
                <w:color w:val="auto"/>
                <w:sz w:val="24"/>
                <w:szCs w:val="24"/>
              </w:rPr>
              <w:t>＝（V</w:t>
            </w:r>
            <w:r>
              <w:rPr>
                <w:color w:val="auto"/>
                <w:sz w:val="24"/>
                <w:szCs w:val="24"/>
                <w:vertAlign w:val="subscript"/>
              </w:rPr>
              <w:t>1</w:t>
            </w:r>
            <w:r>
              <w:rPr>
                <w:color w:val="auto"/>
                <w:sz w:val="24"/>
                <w:szCs w:val="24"/>
              </w:rPr>
              <w:t>＋V</w:t>
            </w:r>
            <w:r>
              <w:rPr>
                <w:color w:val="auto"/>
                <w:sz w:val="24"/>
                <w:szCs w:val="24"/>
                <w:vertAlign w:val="subscript"/>
              </w:rPr>
              <w:t>2</w:t>
            </w:r>
            <w:r>
              <w:rPr>
                <w:color w:val="auto"/>
                <w:sz w:val="24"/>
                <w:szCs w:val="24"/>
              </w:rPr>
              <w:t>-V</w:t>
            </w:r>
            <w:r>
              <w:rPr>
                <w:color w:val="auto"/>
                <w:sz w:val="24"/>
                <w:szCs w:val="24"/>
                <w:vertAlign w:val="subscript"/>
              </w:rPr>
              <w:t>3</w:t>
            </w:r>
            <w:r>
              <w:rPr>
                <w:color w:val="auto"/>
                <w:sz w:val="24"/>
                <w:szCs w:val="24"/>
              </w:rPr>
              <w:t>）</w:t>
            </w:r>
            <w:r>
              <w:rPr>
                <w:color w:val="auto"/>
                <w:sz w:val="24"/>
                <w:szCs w:val="24"/>
                <w:vertAlign w:val="subscript"/>
              </w:rPr>
              <w:t>max</w:t>
            </w:r>
            <w:r>
              <w:rPr>
                <w:color w:val="auto"/>
                <w:sz w:val="24"/>
                <w:szCs w:val="24"/>
              </w:rPr>
              <w:t>＋V</w:t>
            </w:r>
            <w:r>
              <w:rPr>
                <w:color w:val="auto"/>
                <w:sz w:val="24"/>
                <w:szCs w:val="24"/>
                <w:vertAlign w:val="subscript"/>
              </w:rPr>
              <w:t>4</w:t>
            </w:r>
            <w:r>
              <w:rPr>
                <w:color w:val="auto"/>
                <w:sz w:val="24"/>
                <w:szCs w:val="24"/>
              </w:rPr>
              <w:t>＋V</w:t>
            </w:r>
            <w:r>
              <w:rPr>
                <w:color w:val="auto"/>
                <w:sz w:val="24"/>
                <w:szCs w:val="24"/>
                <w:vertAlign w:val="subscript"/>
              </w:rPr>
              <w:t>5</w:t>
            </w:r>
          </w:p>
          <w:p w14:paraId="768FFFCD">
            <w:pPr>
              <w:adjustRightInd w:val="0"/>
              <w:snapToGrid w:val="0"/>
              <w:ind w:firstLine="480" w:firstLineChars="200"/>
              <w:rPr>
                <w:color w:val="auto"/>
                <w:sz w:val="24"/>
                <w:szCs w:val="24"/>
              </w:rPr>
            </w:pPr>
            <w:r>
              <w:rPr>
                <w:color w:val="auto"/>
                <w:sz w:val="24"/>
                <w:szCs w:val="24"/>
              </w:rPr>
              <w:t>注：（V</w:t>
            </w:r>
            <w:r>
              <w:rPr>
                <w:color w:val="auto"/>
                <w:sz w:val="24"/>
                <w:szCs w:val="24"/>
                <w:vertAlign w:val="subscript"/>
              </w:rPr>
              <w:t>1</w:t>
            </w:r>
            <w:r>
              <w:rPr>
                <w:color w:val="auto"/>
                <w:sz w:val="24"/>
                <w:szCs w:val="24"/>
              </w:rPr>
              <w:t>＋V</w:t>
            </w:r>
            <w:r>
              <w:rPr>
                <w:color w:val="auto"/>
                <w:sz w:val="24"/>
                <w:szCs w:val="24"/>
                <w:vertAlign w:val="subscript"/>
              </w:rPr>
              <w:t>2</w:t>
            </w:r>
            <w:r>
              <w:rPr>
                <w:color w:val="auto"/>
                <w:sz w:val="24"/>
                <w:szCs w:val="24"/>
              </w:rPr>
              <w:t>-V</w:t>
            </w:r>
            <w:r>
              <w:rPr>
                <w:color w:val="auto"/>
                <w:sz w:val="24"/>
                <w:szCs w:val="24"/>
                <w:vertAlign w:val="subscript"/>
              </w:rPr>
              <w:t>3</w:t>
            </w:r>
            <w:r>
              <w:rPr>
                <w:color w:val="auto"/>
                <w:sz w:val="24"/>
                <w:szCs w:val="24"/>
              </w:rPr>
              <w:t>）</w:t>
            </w:r>
            <w:r>
              <w:rPr>
                <w:color w:val="auto"/>
                <w:sz w:val="24"/>
                <w:szCs w:val="24"/>
                <w:vertAlign w:val="subscript"/>
              </w:rPr>
              <w:t>max</w:t>
            </w:r>
            <w:r>
              <w:rPr>
                <w:color w:val="auto"/>
                <w:sz w:val="24"/>
                <w:szCs w:val="24"/>
              </w:rPr>
              <w:t>是指对收集系统范围内不同罐组或装置分别计算V</w:t>
            </w:r>
            <w:r>
              <w:rPr>
                <w:color w:val="auto"/>
                <w:sz w:val="24"/>
                <w:szCs w:val="24"/>
                <w:vertAlign w:val="subscript"/>
              </w:rPr>
              <w:t>1</w:t>
            </w:r>
            <w:r>
              <w:rPr>
                <w:color w:val="auto"/>
                <w:sz w:val="24"/>
                <w:szCs w:val="24"/>
              </w:rPr>
              <w:t>＋V</w:t>
            </w:r>
            <w:r>
              <w:rPr>
                <w:color w:val="auto"/>
                <w:sz w:val="24"/>
                <w:szCs w:val="24"/>
                <w:vertAlign w:val="subscript"/>
              </w:rPr>
              <w:t>2</w:t>
            </w:r>
            <w:r>
              <w:rPr>
                <w:color w:val="auto"/>
                <w:sz w:val="24"/>
                <w:szCs w:val="24"/>
              </w:rPr>
              <w:t>-V</w:t>
            </w:r>
            <w:r>
              <w:rPr>
                <w:color w:val="auto"/>
                <w:sz w:val="24"/>
                <w:szCs w:val="24"/>
                <w:vertAlign w:val="subscript"/>
              </w:rPr>
              <w:t>3</w:t>
            </w:r>
            <w:r>
              <w:rPr>
                <w:color w:val="auto"/>
                <w:sz w:val="24"/>
                <w:szCs w:val="24"/>
              </w:rPr>
              <w:t>，取其中最大值。</w:t>
            </w:r>
          </w:p>
          <w:p w14:paraId="0D555190">
            <w:pPr>
              <w:adjustRightInd w:val="0"/>
              <w:snapToGrid w:val="0"/>
              <w:ind w:firstLine="480" w:firstLineChars="200"/>
              <w:rPr>
                <w:color w:val="auto"/>
                <w:sz w:val="24"/>
                <w:szCs w:val="24"/>
              </w:rPr>
            </w:pPr>
            <w:r>
              <w:rPr>
                <w:color w:val="auto"/>
                <w:sz w:val="24"/>
                <w:szCs w:val="24"/>
              </w:rPr>
              <w:t>V</w:t>
            </w:r>
            <w:r>
              <w:rPr>
                <w:color w:val="auto"/>
                <w:sz w:val="24"/>
                <w:szCs w:val="24"/>
                <w:vertAlign w:val="subscript"/>
              </w:rPr>
              <w:t>1</w:t>
            </w:r>
            <w:r>
              <w:rPr>
                <w:color w:val="auto"/>
                <w:sz w:val="24"/>
                <w:szCs w:val="24"/>
              </w:rPr>
              <w:t>——收集系统范围内发生事故的一个罐组或一套装置的物料量。本项目选取一桶</w:t>
            </w:r>
            <w:r>
              <w:rPr>
                <w:rFonts w:hint="eastAsia"/>
                <w:color w:val="auto"/>
                <w:sz w:val="24"/>
                <w:szCs w:val="24"/>
              </w:rPr>
              <w:t>水性墨水</w:t>
            </w:r>
            <w:r>
              <w:rPr>
                <w:color w:val="auto"/>
                <w:sz w:val="24"/>
                <w:szCs w:val="24"/>
              </w:rPr>
              <w:t>泄漏进行评价，V</w:t>
            </w:r>
            <w:r>
              <w:rPr>
                <w:color w:val="auto"/>
                <w:sz w:val="24"/>
                <w:szCs w:val="24"/>
                <w:vertAlign w:val="subscript"/>
              </w:rPr>
              <w:t>1</w:t>
            </w:r>
            <w:r>
              <w:rPr>
                <w:color w:val="auto"/>
                <w:sz w:val="24"/>
                <w:szCs w:val="24"/>
              </w:rPr>
              <w:t>=0.</w:t>
            </w:r>
            <w:r>
              <w:rPr>
                <w:rFonts w:hint="eastAsia"/>
                <w:color w:val="auto"/>
                <w:sz w:val="24"/>
                <w:szCs w:val="24"/>
              </w:rPr>
              <w:t>03</w:t>
            </w:r>
            <w:r>
              <w:rPr>
                <w:color w:val="auto"/>
                <w:sz w:val="24"/>
                <w:szCs w:val="24"/>
              </w:rPr>
              <w:t>m</w:t>
            </w:r>
            <w:r>
              <w:rPr>
                <w:color w:val="auto"/>
                <w:sz w:val="24"/>
                <w:szCs w:val="24"/>
                <w:vertAlign w:val="superscript"/>
              </w:rPr>
              <w:t>3</w:t>
            </w:r>
            <w:r>
              <w:rPr>
                <w:color w:val="auto"/>
                <w:sz w:val="24"/>
                <w:szCs w:val="24"/>
              </w:rPr>
              <w:t>。</w:t>
            </w:r>
          </w:p>
          <w:p w14:paraId="1D26BEFB">
            <w:pPr>
              <w:adjustRightInd w:val="0"/>
              <w:snapToGrid w:val="0"/>
              <w:ind w:firstLine="480" w:firstLineChars="200"/>
              <w:rPr>
                <w:color w:val="auto"/>
                <w:sz w:val="24"/>
                <w:szCs w:val="24"/>
              </w:rPr>
            </w:pPr>
            <w:r>
              <w:rPr>
                <w:color w:val="auto"/>
                <w:sz w:val="24"/>
                <w:szCs w:val="24"/>
              </w:rPr>
              <w:t>V</w:t>
            </w:r>
            <w:r>
              <w:rPr>
                <w:color w:val="auto"/>
                <w:sz w:val="24"/>
                <w:szCs w:val="24"/>
                <w:vertAlign w:val="subscript"/>
              </w:rPr>
              <w:t>2</w:t>
            </w:r>
            <w:r>
              <w:rPr>
                <w:color w:val="auto"/>
                <w:sz w:val="24"/>
                <w:szCs w:val="24"/>
              </w:rPr>
              <w:t>——发生事故时的消防水量，m</w:t>
            </w:r>
            <w:r>
              <w:rPr>
                <w:color w:val="auto"/>
                <w:sz w:val="24"/>
                <w:szCs w:val="24"/>
                <w:vertAlign w:val="superscript"/>
              </w:rPr>
              <w:t>3</w:t>
            </w:r>
            <w:r>
              <w:rPr>
                <w:color w:val="auto"/>
                <w:sz w:val="24"/>
                <w:szCs w:val="24"/>
              </w:rPr>
              <w:t>；</w:t>
            </w:r>
          </w:p>
          <w:p w14:paraId="72796977">
            <w:pPr>
              <w:adjustRightInd w:val="0"/>
              <w:snapToGrid w:val="0"/>
              <w:ind w:firstLine="480" w:firstLineChars="200"/>
              <w:jc w:val="center"/>
              <w:rPr>
                <w:color w:val="auto"/>
                <w:sz w:val="24"/>
                <w:szCs w:val="24"/>
              </w:rPr>
            </w:pPr>
            <w:r>
              <w:rPr>
                <w:color w:val="auto"/>
                <w:sz w:val="24"/>
                <w:szCs w:val="24"/>
              </w:rPr>
              <w:object>
                <v:shape id="_x0000_i1032" o:spt="75" type="#_x0000_t75" style="height:21.1pt;width:69.5pt;" o:ole="t" filled="f" coordsize="21600,21600">
                  <v:path/>
                  <v:fill on="f" focussize="0,0"/>
                  <v:stroke/>
                  <v:imagedata r:id="rId20" o:title=""/>
                  <o:lock v:ext="edit" aspectratio="t"/>
                  <w10:wrap type="none"/>
                  <w10:anchorlock/>
                </v:shape>
                <o:OLEObject Type="Embed" ProgID="AutoCAD.Drawing.18" ShapeID="_x0000_i1032" DrawAspect="Content" ObjectID="_1468075725" r:id="rId19">
                  <o:LockedField>false</o:LockedField>
                </o:OLEObject>
              </w:object>
            </w:r>
          </w:p>
          <w:p w14:paraId="36CFE29B">
            <w:pPr>
              <w:adjustRightInd w:val="0"/>
              <w:snapToGrid w:val="0"/>
              <w:ind w:firstLine="480" w:firstLineChars="200"/>
              <w:rPr>
                <w:color w:val="auto"/>
                <w:sz w:val="24"/>
                <w:szCs w:val="24"/>
              </w:rPr>
            </w:pPr>
            <w:r>
              <w:rPr>
                <w:color w:val="auto"/>
                <w:sz w:val="24"/>
                <w:szCs w:val="24"/>
              </w:rPr>
              <w:t>Q</w:t>
            </w:r>
            <w:r>
              <w:rPr>
                <w:color w:val="auto"/>
                <w:sz w:val="24"/>
                <w:szCs w:val="24"/>
                <w:vertAlign w:val="subscript"/>
              </w:rPr>
              <w:t>消</w:t>
            </w:r>
            <w:r>
              <w:rPr>
                <w:color w:val="auto"/>
                <w:sz w:val="24"/>
                <w:szCs w:val="24"/>
              </w:rPr>
              <w:t>——发生事故的储罐或装置同时使用的消防设施给水流量，m</w:t>
            </w:r>
            <w:r>
              <w:rPr>
                <w:color w:val="auto"/>
                <w:sz w:val="24"/>
                <w:szCs w:val="24"/>
                <w:vertAlign w:val="superscript"/>
              </w:rPr>
              <w:t>3</w:t>
            </w:r>
            <w:r>
              <w:rPr>
                <w:color w:val="auto"/>
                <w:sz w:val="24"/>
                <w:szCs w:val="24"/>
              </w:rPr>
              <w:t>/h；</w:t>
            </w:r>
          </w:p>
          <w:p w14:paraId="60352F32">
            <w:pPr>
              <w:adjustRightInd w:val="0"/>
              <w:snapToGrid w:val="0"/>
              <w:ind w:firstLine="480" w:firstLineChars="200"/>
              <w:rPr>
                <w:color w:val="auto"/>
                <w:sz w:val="24"/>
                <w:szCs w:val="24"/>
              </w:rPr>
            </w:pPr>
            <w:r>
              <w:rPr>
                <w:color w:val="auto"/>
                <w:sz w:val="24"/>
                <w:szCs w:val="24"/>
              </w:rPr>
              <w:t>t</w:t>
            </w:r>
            <w:r>
              <w:rPr>
                <w:color w:val="auto"/>
                <w:sz w:val="24"/>
                <w:szCs w:val="24"/>
                <w:vertAlign w:val="subscript"/>
              </w:rPr>
              <w:t>消</w:t>
            </w:r>
            <w:r>
              <w:rPr>
                <w:color w:val="auto"/>
                <w:sz w:val="24"/>
                <w:szCs w:val="24"/>
              </w:rPr>
              <w:t>——消防设施对应的设计消防历时，h；</w:t>
            </w:r>
          </w:p>
          <w:p w14:paraId="736077AA">
            <w:pPr>
              <w:adjustRightInd w:val="0"/>
              <w:snapToGrid w:val="0"/>
              <w:ind w:firstLine="480" w:firstLineChars="200"/>
              <w:rPr>
                <w:color w:val="auto"/>
                <w:sz w:val="24"/>
                <w:szCs w:val="24"/>
              </w:rPr>
            </w:pPr>
            <w:r>
              <w:rPr>
                <w:color w:val="auto"/>
                <w:sz w:val="24"/>
                <w:szCs w:val="24"/>
              </w:rPr>
              <w:t>根据《消防给水及消火栓系统技术规范》（GB50974-2014），项目消防用水量按1</w:t>
            </w:r>
            <w:r>
              <w:rPr>
                <w:rFonts w:hint="eastAsia"/>
                <w:color w:val="auto"/>
                <w:sz w:val="24"/>
                <w:szCs w:val="24"/>
              </w:rPr>
              <w:t>5</w:t>
            </w:r>
            <w:r>
              <w:rPr>
                <w:color w:val="auto"/>
                <w:sz w:val="24"/>
                <w:szCs w:val="24"/>
              </w:rPr>
              <w:t>L/s计，火灾持续时间按2h计，则消防水总用量为V</w:t>
            </w:r>
            <w:r>
              <w:rPr>
                <w:color w:val="auto"/>
                <w:sz w:val="24"/>
                <w:szCs w:val="24"/>
                <w:vertAlign w:val="subscript"/>
              </w:rPr>
              <w:t>2</w:t>
            </w:r>
            <w:r>
              <w:rPr>
                <w:color w:val="auto"/>
                <w:sz w:val="24"/>
                <w:szCs w:val="24"/>
              </w:rPr>
              <w:t>＝</w:t>
            </w:r>
            <w:r>
              <w:rPr>
                <w:rFonts w:hint="eastAsia"/>
                <w:color w:val="auto"/>
                <w:sz w:val="24"/>
                <w:szCs w:val="24"/>
              </w:rPr>
              <w:t>108</w:t>
            </w:r>
            <w:r>
              <w:rPr>
                <w:color w:val="auto"/>
                <w:sz w:val="24"/>
                <w:szCs w:val="24"/>
              </w:rPr>
              <w:t>m</w:t>
            </w:r>
            <w:r>
              <w:rPr>
                <w:color w:val="auto"/>
                <w:sz w:val="24"/>
                <w:szCs w:val="24"/>
                <w:vertAlign w:val="superscript"/>
              </w:rPr>
              <w:t>3</w:t>
            </w:r>
            <w:r>
              <w:rPr>
                <w:color w:val="auto"/>
                <w:sz w:val="24"/>
                <w:szCs w:val="24"/>
              </w:rPr>
              <w:t>。</w:t>
            </w:r>
          </w:p>
          <w:p w14:paraId="56DBA12E">
            <w:pPr>
              <w:adjustRightInd w:val="0"/>
              <w:snapToGrid w:val="0"/>
              <w:ind w:firstLine="480" w:firstLineChars="200"/>
              <w:rPr>
                <w:color w:val="auto"/>
                <w:sz w:val="24"/>
                <w:szCs w:val="24"/>
              </w:rPr>
            </w:pPr>
            <w:r>
              <w:rPr>
                <w:color w:val="auto"/>
                <w:sz w:val="24"/>
                <w:szCs w:val="24"/>
              </w:rPr>
              <w:t>V</w:t>
            </w:r>
            <w:r>
              <w:rPr>
                <w:color w:val="auto"/>
                <w:sz w:val="24"/>
                <w:szCs w:val="24"/>
                <w:vertAlign w:val="subscript"/>
              </w:rPr>
              <w:t>3</w:t>
            </w:r>
            <w:r>
              <w:rPr>
                <w:color w:val="auto"/>
                <w:sz w:val="24"/>
                <w:szCs w:val="24"/>
              </w:rPr>
              <w:t>——发生事故时可以转输到其他储存或处理设施的物料量，m</w:t>
            </w:r>
            <w:r>
              <w:rPr>
                <w:color w:val="auto"/>
                <w:sz w:val="24"/>
                <w:szCs w:val="24"/>
                <w:vertAlign w:val="superscript"/>
              </w:rPr>
              <w:t>3</w:t>
            </w:r>
            <w:r>
              <w:rPr>
                <w:color w:val="auto"/>
                <w:sz w:val="24"/>
                <w:szCs w:val="24"/>
              </w:rPr>
              <w:t>，本项目V</w:t>
            </w:r>
            <w:r>
              <w:rPr>
                <w:color w:val="auto"/>
                <w:sz w:val="24"/>
                <w:szCs w:val="24"/>
                <w:vertAlign w:val="subscript"/>
              </w:rPr>
              <w:t>3</w:t>
            </w:r>
            <w:r>
              <w:rPr>
                <w:color w:val="auto"/>
                <w:sz w:val="24"/>
                <w:szCs w:val="24"/>
              </w:rPr>
              <w:t>=0。</w:t>
            </w:r>
          </w:p>
          <w:p w14:paraId="42C33542">
            <w:pPr>
              <w:adjustRightInd w:val="0"/>
              <w:snapToGrid w:val="0"/>
              <w:ind w:firstLine="480" w:firstLineChars="200"/>
              <w:rPr>
                <w:color w:val="auto"/>
                <w:sz w:val="24"/>
                <w:szCs w:val="24"/>
              </w:rPr>
            </w:pPr>
            <w:r>
              <w:rPr>
                <w:color w:val="auto"/>
                <w:sz w:val="24"/>
                <w:szCs w:val="24"/>
              </w:rPr>
              <w:t>V</w:t>
            </w:r>
            <w:r>
              <w:rPr>
                <w:color w:val="auto"/>
                <w:sz w:val="24"/>
                <w:szCs w:val="24"/>
                <w:vertAlign w:val="subscript"/>
              </w:rPr>
              <w:t>4</w:t>
            </w:r>
            <w:r>
              <w:rPr>
                <w:color w:val="auto"/>
                <w:sz w:val="24"/>
                <w:szCs w:val="24"/>
              </w:rPr>
              <w:t>——发生事故时仍必须进入该收集系统的生产废水量，m</w:t>
            </w:r>
            <w:r>
              <w:rPr>
                <w:color w:val="auto"/>
                <w:sz w:val="24"/>
                <w:szCs w:val="24"/>
                <w:vertAlign w:val="superscript"/>
              </w:rPr>
              <w:t>3</w:t>
            </w:r>
            <w:r>
              <w:rPr>
                <w:color w:val="auto"/>
                <w:sz w:val="24"/>
                <w:szCs w:val="24"/>
              </w:rPr>
              <w:t>，本项目正常营运过程中生产废水产生量V</w:t>
            </w:r>
            <w:r>
              <w:rPr>
                <w:color w:val="auto"/>
                <w:sz w:val="24"/>
                <w:szCs w:val="24"/>
                <w:vertAlign w:val="subscript"/>
              </w:rPr>
              <w:t>4</w:t>
            </w:r>
            <w:r>
              <w:rPr>
                <w:color w:val="auto"/>
                <w:sz w:val="24"/>
                <w:szCs w:val="24"/>
              </w:rPr>
              <w:t>=0。</w:t>
            </w:r>
          </w:p>
          <w:p w14:paraId="55DEECC2">
            <w:pPr>
              <w:adjustRightInd w:val="0"/>
              <w:snapToGrid w:val="0"/>
              <w:ind w:firstLine="480" w:firstLineChars="200"/>
              <w:rPr>
                <w:color w:val="auto"/>
                <w:sz w:val="24"/>
                <w:szCs w:val="24"/>
              </w:rPr>
            </w:pPr>
            <w:r>
              <w:rPr>
                <w:color w:val="auto"/>
                <w:sz w:val="24"/>
                <w:szCs w:val="24"/>
              </w:rPr>
              <w:t>V</w:t>
            </w:r>
            <w:r>
              <w:rPr>
                <w:color w:val="auto"/>
                <w:sz w:val="24"/>
                <w:szCs w:val="24"/>
                <w:vertAlign w:val="subscript"/>
              </w:rPr>
              <w:t>5</w:t>
            </w:r>
            <w:r>
              <w:rPr>
                <w:color w:val="auto"/>
                <w:sz w:val="24"/>
                <w:szCs w:val="24"/>
              </w:rPr>
              <w:t>——发生事故时可能进入该收集系统的降雨量，m</w:t>
            </w:r>
            <w:r>
              <w:rPr>
                <w:color w:val="auto"/>
                <w:sz w:val="24"/>
                <w:szCs w:val="24"/>
                <w:vertAlign w:val="superscript"/>
              </w:rPr>
              <w:t>3</w:t>
            </w:r>
            <w:r>
              <w:rPr>
                <w:color w:val="auto"/>
                <w:sz w:val="24"/>
                <w:szCs w:val="24"/>
              </w:rPr>
              <w:t>。</w:t>
            </w:r>
          </w:p>
          <w:p w14:paraId="642DA8C3">
            <w:pPr>
              <w:adjustRightInd w:val="0"/>
              <w:snapToGrid w:val="0"/>
              <w:ind w:firstLine="480" w:firstLineChars="200"/>
              <w:jc w:val="center"/>
              <w:rPr>
                <w:color w:val="auto"/>
                <w:sz w:val="24"/>
                <w:szCs w:val="24"/>
              </w:rPr>
            </w:pPr>
            <w:r>
              <w:rPr>
                <w:color w:val="auto"/>
                <w:sz w:val="24"/>
                <w:szCs w:val="24"/>
              </w:rPr>
              <w:t>V</w:t>
            </w:r>
            <w:r>
              <w:rPr>
                <w:color w:val="auto"/>
                <w:sz w:val="24"/>
                <w:szCs w:val="24"/>
                <w:vertAlign w:val="subscript"/>
              </w:rPr>
              <w:t>5</w:t>
            </w:r>
            <w:r>
              <w:rPr>
                <w:color w:val="auto"/>
                <w:sz w:val="24"/>
                <w:szCs w:val="24"/>
              </w:rPr>
              <w:t>=10qF</w:t>
            </w:r>
          </w:p>
          <w:p w14:paraId="46B03C52">
            <w:pPr>
              <w:adjustRightInd w:val="0"/>
              <w:snapToGrid w:val="0"/>
              <w:ind w:firstLine="480" w:firstLineChars="200"/>
              <w:rPr>
                <w:color w:val="auto"/>
                <w:sz w:val="24"/>
                <w:szCs w:val="24"/>
              </w:rPr>
            </w:pPr>
            <w:r>
              <w:rPr>
                <w:color w:val="auto"/>
                <w:sz w:val="24"/>
                <w:szCs w:val="24"/>
              </w:rPr>
              <w:t>q——降雨强度，mm；按平均日降雨量；</w:t>
            </w:r>
          </w:p>
          <w:p w14:paraId="7206FCD0">
            <w:pPr>
              <w:adjustRightInd w:val="0"/>
              <w:snapToGrid w:val="0"/>
              <w:ind w:firstLine="480" w:firstLineChars="200"/>
              <w:jc w:val="center"/>
              <w:rPr>
                <w:color w:val="auto"/>
                <w:sz w:val="24"/>
                <w:szCs w:val="24"/>
              </w:rPr>
            </w:pPr>
            <w:r>
              <w:rPr>
                <w:color w:val="auto"/>
                <w:sz w:val="24"/>
                <w:szCs w:val="24"/>
              </w:rPr>
              <w:t>q=q</w:t>
            </w:r>
            <w:r>
              <w:rPr>
                <w:color w:val="auto"/>
                <w:sz w:val="24"/>
                <w:szCs w:val="24"/>
                <w:vertAlign w:val="subscript"/>
              </w:rPr>
              <w:t>a</w:t>
            </w:r>
            <w:r>
              <w:rPr>
                <w:color w:val="auto"/>
                <w:sz w:val="24"/>
                <w:szCs w:val="24"/>
              </w:rPr>
              <w:t>/n</w:t>
            </w:r>
          </w:p>
          <w:p w14:paraId="111DAE67">
            <w:pPr>
              <w:adjustRightInd w:val="0"/>
              <w:snapToGrid w:val="0"/>
              <w:ind w:firstLine="480" w:firstLineChars="200"/>
              <w:rPr>
                <w:color w:val="auto"/>
                <w:sz w:val="24"/>
                <w:szCs w:val="24"/>
              </w:rPr>
            </w:pPr>
            <w:r>
              <w:rPr>
                <w:color w:val="auto"/>
                <w:sz w:val="24"/>
                <w:szCs w:val="24"/>
              </w:rPr>
              <w:t>q</w:t>
            </w:r>
            <w:r>
              <w:rPr>
                <w:color w:val="auto"/>
                <w:sz w:val="24"/>
                <w:szCs w:val="24"/>
                <w:vertAlign w:val="subscript"/>
              </w:rPr>
              <w:t>a</w:t>
            </w:r>
            <w:r>
              <w:rPr>
                <w:color w:val="auto"/>
                <w:sz w:val="24"/>
                <w:szCs w:val="24"/>
              </w:rPr>
              <w:t>——年平均降雨量，mm；</w:t>
            </w:r>
          </w:p>
          <w:p w14:paraId="3AB85C31">
            <w:pPr>
              <w:adjustRightInd w:val="0"/>
              <w:snapToGrid w:val="0"/>
              <w:ind w:firstLine="480" w:firstLineChars="200"/>
              <w:rPr>
                <w:color w:val="auto"/>
                <w:sz w:val="24"/>
                <w:szCs w:val="24"/>
              </w:rPr>
            </w:pPr>
            <w:r>
              <w:rPr>
                <w:color w:val="auto"/>
                <w:sz w:val="24"/>
                <w:szCs w:val="24"/>
              </w:rPr>
              <w:t>n——年平均降雨日数；</w:t>
            </w:r>
          </w:p>
          <w:p w14:paraId="4DB5952C">
            <w:pPr>
              <w:adjustRightInd w:val="0"/>
              <w:snapToGrid w:val="0"/>
              <w:ind w:firstLine="480" w:firstLineChars="200"/>
              <w:rPr>
                <w:color w:val="auto"/>
                <w:sz w:val="24"/>
                <w:szCs w:val="24"/>
              </w:rPr>
            </w:pPr>
            <w:r>
              <w:rPr>
                <w:color w:val="auto"/>
                <w:sz w:val="24"/>
                <w:szCs w:val="24"/>
              </w:rPr>
              <w:t>F——必须进入事故废水收集系统的雨水汇水面积，ha；</w:t>
            </w:r>
          </w:p>
          <w:p w14:paraId="4A289CDD">
            <w:pPr>
              <w:adjustRightInd w:val="0"/>
              <w:snapToGrid w:val="0"/>
              <w:ind w:firstLine="480" w:firstLineChars="200"/>
              <w:rPr>
                <w:color w:val="auto"/>
                <w:sz w:val="24"/>
                <w:szCs w:val="24"/>
              </w:rPr>
            </w:pPr>
            <w:r>
              <w:rPr>
                <w:color w:val="auto"/>
                <w:sz w:val="24"/>
                <w:szCs w:val="24"/>
              </w:rPr>
              <w:t>根据江阴气象资料，年平均降雨量为1025.6mm，年平均降雨日数124天，</w:t>
            </w:r>
            <w:r>
              <w:rPr>
                <w:rStyle w:val="33"/>
                <w:rFonts w:hint="eastAsia"/>
                <w:color w:val="auto"/>
                <w:kern w:val="0"/>
                <w:sz w:val="24"/>
                <w:szCs w:val="24"/>
                <w:lang w:val="en-US" w:eastAsia="zh-CN"/>
              </w:rPr>
              <w:t>汇水面积</w:t>
            </w:r>
            <w:r>
              <w:rPr>
                <w:rFonts w:hint="eastAsia"/>
                <w:color w:val="auto"/>
                <w:sz w:val="24"/>
                <w:szCs w:val="24"/>
                <w:lang w:val="en-US" w:eastAsia="zh-CN"/>
              </w:rPr>
              <w:t>0.06ha</w:t>
            </w:r>
            <w:r>
              <w:rPr>
                <w:color w:val="auto"/>
                <w:sz w:val="24"/>
                <w:szCs w:val="24"/>
              </w:rPr>
              <w:t>，V</w:t>
            </w:r>
            <w:r>
              <w:rPr>
                <w:color w:val="auto"/>
                <w:sz w:val="24"/>
                <w:szCs w:val="24"/>
                <w:vertAlign w:val="subscript"/>
              </w:rPr>
              <w:t>5</w:t>
            </w:r>
            <w:r>
              <w:rPr>
                <w:color w:val="auto"/>
                <w:sz w:val="24"/>
                <w:szCs w:val="24"/>
              </w:rPr>
              <w:t>=</w:t>
            </w:r>
            <w:r>
              <w:rPr>
                <w:rFonts w:hint="eastAsia"/>
                <w:color w:val="auto"/>
                <w:sz w:val="24"/>
                <w:szCs w:val="24"/>
                <w:lang w:val="en-US" w:eastAsia="zh-CN"/>
              </w:rPr>
              <w:t>4.96</w:t>
            </w:r>
            <w:r>
              <w:rPr>
                <w:color w:val="auto"/>
                <w:sz w:val="24"/>
                <w:szCs w:val="24"/>
              </w:rPr>
              <w:t>m</w:t>
            </w:r>
            <w:r>
              <w:rPr>
                <w:color w:val="auto"/>
                <w:sz w:val="24"/>
                <w:szCs w:val="24"/>
                <w:vertAlign w:val="superscript"/>
              </w:rPr>
              <w:t>3</w:t>
            </w:r>
            <w:r>
              <w:rPr>
                <w:color w:val="auto"/>
                <w:sz w:val="24"/>
                <w:szCs w:val="24"/>
              </w:rPr>
              <w:t>。</w:t>
            </w:r>
          </w:p>
          <w:p w14:paraId="1316A8FF">
            <w:pPr>
              <w:adjustRightInd w:val="0"/>
              <w:snapToGrid w:val="0"/>
              <w:ind w:firstLine="480" w:firstLineChars="200"/>
              <w:rPr>
                <w:color w:val="auto"/>
                <w:sz w:val="24"/>
                <w:szCs w:val="24"/>
              </w:rPr>
            </w:pPr>
            <w:r>
              <w:rPr>
                <w:color w:val="auto"/>
                <w:sz w:val="24"/>
                <w:szCs w:val="24"/>
              </w:rPr>
              <w:t>通过以上数据可计算得本项目应急事故废水最大量为：</w:t>
            </w:r>
          </w:p>
          <w:p w14:paraId="675E08E3">
            <w:pPr>
              <w:adjustRightInd w:val="0"/>
              <w:snapToGrid w:val="0"/>
              <w:ind w:firstLine="480" w:firstLineChars="200"/>
              <w:rPr>
                <w:color w:val="auto"/>
                <w:sz w:val="24"/>
                <w:szCs w:val="24"/>
              </w:rPr>
            </w:pPr>
            <w:r>
              <w:rPr>
                <w:color w:val="auto"/>
                <w:sz w:val="24"/>
                <w:szCs w:val="24"/>
              </w:rPr>
              <w:t>V</w:t>
            </w:r>
            <w:r>
              <w:rPr>
                <w:color w:val="auto"/>
                <w:sz w:val="24"/>
                <w:szCs w:val="24"/>
                <w:vertAlign w:val="subscript"/>
              </w:rPr>
              <w:t>总</w:t>
            </w:r>
            <w:r>
              <w:rPr>
                <w:color w:val="auto"/>
                <w:sz w:val="24"/>
                <w:szCs w:val="24"/>
              </w:rPr>
              <w:t>＝（V</w:t>
            </w:r>
            <w:r>
              <w:rPr>
                <w:color w:val="auto"/>
                <w:sz w:val="24"/>
                <w:szCs w:val="24"/>
                <w:vertAlign w:val="subscript"/>
              </w:rPr>
              <w:t>1</w:t>
            </w:r>
            <w:r>
              <w:rPr>
                <w:color w:val="auto"/>
                <w:sz w:val="24"/>
                <w:szCs w:val="24"/>
              </w:rPr>
              <w:t>＋V</w:t>
            </w:r>
            <w:r>
              <w:rPr>
                <w:color w:val="auto"/>
                <w:sz w:val="24"/>
                <w:szCs w:val="24"/>
                <w:vertAlign w:val="subscript"/>
              </w:rPr>
              <w:t>2</w:t>
            </w:r>
            <w:r>
              <w:rPr>
                <w:color w:val="auto"/>
                <w:sz w:val="24"/>
                <w:szCs w:val="24"/>
              </w:rPr>
              <w:t>-V</w:t>
            </w:r>
            <w:r>
              <w:rPr>
                <w:color w:val="auto"/>
                <w:sz w:val="24"/>
                <w:szCs w:val="24"/>
                <w:vertAlign w:val="subscript"/>
              </w:rPr>
              <w:t>3</w:t>
            </w:r>
            <w:r>
              <w:rPr>
                <w:color w:val="auto"/>
                <w:sz w:val="24"/>
                <w:szCs w:val="24"/>
              </w:rPr>
              <w:t>）</w:t>
            </w:r>
            <w:r>
              <w:rPr>
                <w:color w:val="auto"/>
                <w:sz w:val="24"/>
                <w:szCs w:val="24"/>
                <w:vertAlign w:val="subscript"/>
              </w:rPr>
              <w:t>max</w:t>
            </w:r>
            <w:r>
              <w:rPr>
                <w:color w:val="auto"/>
                <w:sz w:val="24"/>
                <w:szCs w:val="24"/>
              </w:rPr>
              <w:t>＋V</w:t>
            </w:r>
            <w:r>
              <w:rPr>
                <w:color w:val="auto"/>
                <w:sz w:val="24"/>
                <w:szCs w:val="24"/>
                <w:vertAlign w:val="subscript"/>
              </w:rPr>
              <w:t>4</w:t>
            </w:r>
            <w:r>
              <w:rPr>
                <w:color w:val="auto"/>
                <w:sz w:val="24"/>
                <w:szCs w:val="24"/>
              </w:rPr>
              <w:t>＋V</w:t>
            </w:r>
            <w:r>
              <w:rPr>
                <w:color w:val="auto"/>
                <w:sz w:val="24"/>
                <w:szCs w:val="24"/>
                <w:vertAlign w:val="subscript"/>
              </w:rPr>
              <w:t>5</w:t>
            </w:r>
            <w:r>
              <w:rPr>
                <w:color w:val="auto"/>
                <w:sz w:val="24"/>
                <w:szCs w:val="24"/>
              </w:rPr>
              <w:t>＝（0.</w:t>
            </w:r>
            <w:r>
              <w:rPr>
                <w:rFonts w:hint="eastAsia"/>
                <w:color w:val="auto"/>
                <w:sz w:val="24"/>
                <w:szCs w:val="24"/>
              </w:rPr>
              <w:t>03</w:t>
            </w:r>
            <w:r>
              <w:rPr>
                <w:color w:val="auto"/>
                <w:sz w:val="24"/>
                <w:szCs w:val="24"/>
              </w:rPr>
              <w:t>+</w:t>
            </w:r>
            <w:r>
              <w:rPr>
                <w:rFonts w:hint="eastAsia"/>
                <w:color w:val="auto"/>
                <w:sz w:val="24"/>
                <w:szCs w:val="24"/>
              </w:rPr>
              <w:t>108</w:t>
            </w:r>
            <w:r>
              <w:rPr>
                <w:color w:val="auto"/>
                <w:sz w:val="24"/>
                <w:szCs w:val="24"/>
              </w:rPr>
              <w:t>-0）+0+</w:t>
            </w:r>
            <w:r>
              <w:rPr>
                <w:rFonts w:hint="eastAsia"/>
                <w:color w:val="auto"/>
                <w:sz w:val="24"/>
                <w:szCs w:val="24"/>
                <w:lang w:val="en-US" w:eastAsia="zh-CN"/>
              </w:rPr>
              <w:t>4.96</w:t>
            </w:r>
            <w:r>
              <w:rPr>
                <w:color w:val="auto"/>
                <w:sz w:val="24"/>
                <w:szCs w:val="24"/>
              </w:rPr>
              <w:t>＝</w:t>
            </w:r>
            <w:r>
              <w:rPr>
                <w:rFonts w:hint="eastAsia"/>
                <w:color w:val="auto"/>
                <w:sz w:val="24"/>
                <w:szCs w:val="24"/>
                <w:lang w:val="en-US" w:eastAsia="zh-CN"/>
              </w:rPr>
              <w:t>112.99</w:t>
            </w:r>
            <w:r>
              <w:rPr>
                <w:color w:val="auto"/>
                <w:sz w:val="24"/>
                <w:szCs w:val="24"/>
              </w:rPr>
              <w:t>m</w:t>
            </w:r>
            <w:r>
              <w:rPr>
                <w:color w:val="auto"/>
                <w:sz w:val="24"/>
                <w:szCs w:val="24"/>
                <w:vertAlign w:val="superscript"/>
              </w:rPr>
              <w:t>3</w:t>
            </w:r>
          </w:p>
          <w:p w14:paraId="1D87ECE5">
            <w:pPr>
              <w:adjustRightInd w:val="0"/>
              <w:snapToGrid w:val="0"/>
              <w:ind w:firstLine="480" w:firstLineChars="200"/>
              <w:rPr>
                <w:color w:val="auto"/>
                <w:sz w:val="24"/>
                <w:szCs w:val="24"/>
              </w:rPr>
            </w:pPr>
            <w:r>
              <w:rPr>
                <w:color w:val="auto"/>
                <w:sz w:val="24"/>
                <w:szCs w:val="24"/>
              </w:rPr>
              <w:t>企业需建设的容积为</w:t>
            </w:r>
            <w:r>
              <w:rPr>
                <w:rFonts w:hint="eastAsia"/>
                <w:color w:val="auto"/>
                <w:sz w:val="24"/>
                <w:szCs w:val="24"/>
              </w:rPr>
              <w:t>1</w:t>
            </w:r>
            <w:r>
              <w:rPr>
                <w:rFonts w:hint="eastAsia"/>
                <w:color w:val="auto"/>
                <w:sz w:val="24"/>
                <w:szCs w:val="24"/>
                <w:lang w:val="en-US" w:eastAsia="zh-CN"/>
              </w:rPr>
              <w:t>2</w:t>
            </w:r>
            <w:r>
              <w:rPr>
                <w:rFonts w:hint="eastAsia"/>
                <w:color w:val="auto"/>
                <w:sz w:val="24"/>
                <w:szCs w:val="24"/>
              </w:rPr>
              <w:t>0</w:t>
            </w:r>
            <w:r>
              <w:rPr>
                <w:color w:val="auto"/>
                <w:sz w:val="24"/>
                <w:szCs w:val="24"/>
              </w:rPr>
              <w:t>m</w:t>
            </w:r>
            <w:r>
              <w:rPr>
                <w:color w:val="auto"/>
                <w:sz w:val="24"/>
                <w:szCs w:val="24"/>
                <w:vertAlign w:val="superscript"/>
              </w:rPr>
              <w:t>3</w:t>
            </w:r>
            <w:r>
              <w:rPr>
                <w:color w:val="auto"/>
                <w:sz w:val="24"/>
                <w:szCs w:val="24"/>
              </w:rPr>
              <w:t>事故应急池及管道、切换阀门对事故废水进行截留、收集，可满足本项目风险预防要求。</w:t>
            </w:r>
          </w:p>
          <w:p w14:paraId="0297CD69">
            <w:pPr>
              <w:keepNext w:val="0"/>
              <w:keepLines w:val="0"/>
              <w:pageBreakBefore w:val="0"/>
              <w:widowControl w:val="0"/>
              <w:kinsoku/>
              <w:wordWrap/>
              <w:overflowPunct/>
              <w:topLinePunct w:val="0"/>
              <w:autoSpaceDE/>
              <w:autoSpaceDN/>
              <w:bidi w:val="0"/>
              <w:snapToGrid w:val="0"/>
              <w:spacing w:line="360" w:lineRule="auto"/>
              <w:textAlignment w:val="auto"/>
              <w:rPr>
                <w:b/>
                <w:bCs/>
                <w:color w:val="auto"/>
                <w:sz w:val="24"/>
                <w:szCs w:val="24"/>
              </w:rPr>
            </w:pPr>
            <w:r>
              <w:rPr>
                <w:rFonts w:hint="eastAsia"/>
                <w:b/>
                <w:bCs/>
                <w:color w:val="auto"/>
                <w:sz w:val="24"/>
                <w:szCs w:val="24"/>
                <w:lang w:val="en-US" w:eastAsia="zh-CN"/>
              </w:rPr>
              <w:t>7.4</w:t>
            </w:r>
            <w:r>
              <w:rPr>
                <w:rFonts w:hint="eastAsia"/>
                <w:b/>
                <w:bCs/>
                <w:color w:val="auto"/>
                <w:sz w:val="24"/>
                <w:szCs w:val="24"/>
              </w:rPr>
              <w:t>水污染三级防控体系</w:t>
            </w:r>
          </w:p>
          <w:p w14:paraId="512330A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（1）本项目环境风险三级防控体系情况</w:t>
            </w:r>
          </w:p>
          <w:p w14:paraId="71F35E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本项目构筑环境风险三级（单元、厂区和园区）应急防范体系如下：</w:t>
            </w:r>
          </w:p>
          <w:p w14:paraId="3BAEA5C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①</w:t>
            </w:r>
            <w:r>
              <w:rPr>
                <w:rFonts w:ascii="Times New Roman" w:hAnsi="Times New Roman" w:eastAsia="宋体" w:cs="Times New Roman"/>
                <w:color w:val="auto"/>
                <w:sz w:val="24"/>
                <w:szCs w:val="24"/>
              </w:rPr>
              <w:t>第一级防控体系的功能主要是将事故废水控制在事故风险源所在区域单元，该体系主要是由收集沟和管道等配套基础设施组成，防止污染雨水和轻微事故泄漏造成的环境污染；本项目在</w:t>
            </w:r>
            <w:r>
              <w:rPr>
                <w:rFonts w:hint="eastAsia" w:ascii="Times New Roman" w:hAnsi="Times New Roman" w:eastAsia="宋体" w:cs="Times New Roman"/>
                <w:color w:val="auto"/>
                <w:sz w:val="24"/>
                <w:szCs w:val="24"/>
              </w:rPr>
              <w:t>墨水中间库</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危废仓库</w:t>
            </w:r>
            <w:r>
              <w:rPr>
                <w:rFonts w:ascii="Times New Roman" w:hAnsi="Times New Roman" w:eastAsia="宋体" w:cs="Times New Roman"/>
                <w:color w:val="auto"/>
                <w:sz w:val="24"/>
                <w:szCs w:val="24"/>
              </w:rPr>
              <w:t>周边设置围堰及导流设施</w:t>
            </w:r>
            <w:r>
              <w:rPr>
                <w:rFonts w:hint="eastAsia" w:ascii="Times New Roman" w:hAnsi="Times New Roman" w:eastAsia="宋体" w:cs="Times New Roman"/>
                <w:color w:val="auto"/>
                <w:sz w:val="24"/>
                <w:szCs w:val="24"/>
                <w:lang w:eastAsia="zh-CN"/>
              </w:rPr>
              <w:t>，</w:t>
            </w:r>
            <w:r>
              <w:rPr>
                <w:rFonts w:ascii="Times New Roman" w:hAnsi="Times New Roman" w:eastAsia="宋体" w:cs="Times New Roman"/>
                <w:color w:val="auto"/>
                <w:sz w:val="24"/>
                <w:szCs w:val="24"/>
              </w:rPr>
              <w:t>确保厂内个别单元处发生废水废液事故时，各污染物能够控制在围堰范围内，并通过导流设施将污染物收集。</w:t>
            </w:r>
          </w:p>
          <w:p w14:paraId="09FEF4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②</w:t>
            </w:r>
            <w:r>
              <w:rPr>
                <w:rFonts w:ascii="Times New Roman" w:hAnsi="Times New Roman" w:eastAsia="宋体" w:cs="Times New Roman"/>
                <w:color w:val="auto"/>
                <w:sz w:val="24"/>
                <w:szCs w:val="24"/>
              </w:rPr>
              <w:t>第二级防控体系必须建设厂区应急事故水池、雨排口切断装置及其配套设施（如事故导排系统、强排系统）。应急事故池应在突发事故状态下拦截和收集厂区范围内的事故废水和消防尾水，避免其危害外部环境致使事故扩大化，因此应急事故池被视为企业的关键防控设施体系。本项目在厂区雨水口处设置截断阀；设置</w:t>
            </w:r>
            <w:r>
              <w:rPr>
                <w:rFonts w:hint="eastAsia" w:ascii="Times New Roman" w:hAnsi="Times New Roman" w:eastAsia="宋体" w:cs="Times New Roman"/>
                <w:color w:val="auto"/>
                <w:sz w:val="24"/>
                <w:szCs w:val="24"/>
                <w:lang w:val="en-US" w:eastAsia="zh-CN"/>
              </w:rPr>
              <w:t>120</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的事故应急池，一旦厂区内发生泄露事故，应立刻关闭雨水阀门，确保污染物不会出厂区。打开应急池入口阀（闸），将污染物导流进入事故应急池。</w:t>
            </w:r>
          </w:p>
          <w:p w14:paraId="15E316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③</w:t>
            </w:r>
            <w:r>
              <w:rPr>
                <w:rFonts w:ascii="Times New Roman" w:hAnsi="Times New Roman" w:eastAsia="宋体" w:cs="Times New Roman"/>
                <w:color w:val="auto"/>
                <w:sz w:val="24"/>
                <w:szCs w:val="24"/>
              </w:rPr>
              <w:t>第三级水环境风险防控体系是针对企业厂内防范能力有限而导致事故废水可能外溢出厂界的应急处理。本项目与园区设施衔接，园区河道设置闸门，一旦污染物溢出厂外，建设单位立刻联系当地人民政府，关闭闸门，将污染物控制在园区范围内。</w:t>
            </w:r>
          </w:p>
          <w:p w14:paraId="66EA51D7">
            <w:pPr>
              <w:adjustRightInd w:val="0"/>
              <w:snapToGrid w:val="0"/>
              <w:ind w:firstLine="480" w:firstLineChars="200"/>
              <w:rPr>
                <w:color w:val="auto"/>
                <w:sz w:val="24"/>
                <w:szCs w:val="24"/>
              </w:rPr>
            </w:pPr>
            <w:r>
              <w:rPr>
                <w:color w:val="auto"/>
                <w:sz w:val="24"/>
                <w:szCs w:val="24"/>
              </w:rPr>
              <w:t>（</w:t>
            </w:r>
            <w:r>
              <w:rPr>
                <w:rFonts w:hint="eastAsia"/>
                <w:color w:val="auto"/>
                <w:sz w:val="24"/>
                <w:szCs w:val="24"/>
              </w:rPr>
              <w:t>7</w:t>
            </w:r>
            <w:r>
              <w:rPr>
                <w:color w:val="auto"/>
                <w:sz w:val="24"/>
                <w:szCs w:val="24"/>
              </w:rPr>
              <w:t>）其他风险措施</w:t>
            </w:r>
          </w:p>
          <w:p w14:paraId="46529174">
            <w:pPr>
              <w:adjustRightInd w:val="0"/>
              <w:snapToGrid w:val="0"/>
              <w:ind w:firstLine="480" w:firstLineChars="200"/>
              <w:rPr>
                <w:color w:val="auto"/>
                <w:sz w:val="24"/>
                <w:szCs w:val="24"/>
              </w:rPr>
            </w:pPr>
            <w:r>
              <w:rPr>
                <w:color w:val="auto"/>
                <w:sz w:val="24"/>
                <w:szCs w:val="24"/>
              </w:rPr>
              <w:t>主要为加强监管，保证生产设备正常运转，废气设施正常运转，减少对周围环境的影响。编制突发环境事件应急预案，定期开展演练。车间有无组织粉尘及其他废气的，加强车间通风，防止发生火灾爆炸等。</w:t>
            </w:r>
          </w:p>
          <w:p w14:paraId="68A2DBA4">
            <w:pPr>
              <w:adjustRightInd w:val="0"/>
              <w:snapToGrid w:val="0"/>
              <w:rPr>
                <w:b/>
                <w:bCs/>
                <w:color w:val="auto"/>
                <w:sz w:val="24"/>
                <w:szCs w:val="24"/>
              </w:rPr>
            </w:pPr>
            <w:r>
              <w:rPr>
                <w:rFonts w:hint="eastAsia"/>
                <w:b/>
                <w:bCs/>
                <w:color w:val="auto"/>
                <w:sz w:val="24"/>
                <w:szCs w:val="24"/>
              </w:rPr>
              <w:t>7.5突发环境事件应急预案</w:t>
            </w:r>
          </w:p>
          <w:p w14:paraId="4AD10DE0">
            <w:pPr>
              <w:adjustRightInd w:val="0"/>
              <w:snapToGrid w:val="0"/>
              <w:ind w:firstLine="480" w:firstLineChars="200"/>
              <w:rPr>
                <w:color w:val="auto"/>
                <w:sz w:val="24"/>
                <w:szCs w:val="24"/>
              </w:rPr>
            </w:pPr>
            <w:r>
              <w:rPr>
                <w:color w:val="auto"/>
                <w:sz w:val="24"/>
                <w:szCs w:val="24"/>
              </w:rPr>
              <w:t>本项目建设后，建设单位应及时编制应急预案，进行评审发布并及时备案。为了在发生突发事故时，能以最快的速度发挥最大的效能，有序的实施救援，尽快控制事态的发展，降低事故造成的危害，减少事故造成的损失，故本项目制定该初步应急预案。</w:t>
            </w:r>
          </w:p>
          <w:p w14:paraId="510E2869">
            <w:pPr>
              <w:adjustRightInd w:val="0"/>
              <w:snapToGrid w:val="0"/>
              <w:ind w:firstLine="480" w:firstLineChars="200"/>
              <w:rPr>
                <w:color w:val="auto"/>
                <w:sz w:val="24"/>
                <w:szCs w:val="24"/>
              </w:rPr>
            </w:pPr>
            <w:r>
              <w:rPr>
                <w:color w:val="auto"/>
                <w:sz w:val="24"/>
                <w:szCs w:val="24"/>
              </w:rPr>
              <w:t>（1）划定应急计划区</w:t>
            </w:r>
          </w:p>
          <w:p w14:paraId="27311C69">
            <w:pPr>
              <w:adjustRightInd w:val="0"/>
              <w:snapToGrid w:val="0"/>
              <w:ind w:firstLine="480" w:firstLineChars="200"/>
              <w:rPr>
                <w:color w:val="auto"/>
                <w:sz w:val="24"/>
                <w:szCs w:val="24"/>
              </w:rPr>
            </w:pPr>
            <w:r>
              <w:rPr>
                <w:color w:val="auto"/>
                <w:sz w:val="24"/>
                <w:szCs w:val="24"/>
              </w:rPr>
              <w:t>本项目涉及的危险物质主要为</w:t>
            </w:r>
            <w:r>
              <w:rPr>
                <w:rFonts w:hint="eastAsia"/>
                <w:color w:val="auto"/>
                <w:sz w:val="24"/>
                <w:szCs w:val="24"/>
              </w:rPr>
              <w:t>废机油、</w:t>
            </w:r>
            <w:r>
              <w:rPr>
                <w:rFonts w:hint="eastAsia"/>
                <w:color w:val="auto"/>
                <w:sz w:val="24"/>
                <w:szCs w:val="24"/>
                <w:lang w:eastAsia="zh-CN"/>
              </w:rPr>
              <w:t>清洗废液</w:t>
            </w:r>
            <w:r>
              <w:rPr>
                <w:rFonts w:hint="eastAsia"/>
                <w:color w:val="auto"/>
                <w:sz w:val="24"/>
                <w:szCs w:val="24"/>
              </w:rPr>
              <w:t>、</w:t>
            </w:r>
            <w:r>
              <w:rPr>
                <w:color w:val="auto"/>
                <w:sz w:val="24"/>
                <w:szCs w:val="24"/>
              </w:rPr>
              <w:t>水性墨水</w:t>
            </w:r>
            <w:r>
              <w:rPr>
                <w:rFonts w:hint="eastAsia"/>
                <w:color w:val="auto"/>
                <w:sz w:val="24"/>
                <w:szCs w:val="24"/>
              </w:rPr>
              <w:t>、机油等</w:t>
            </w:r>
            <w:r>
              <w:rPr>
                <w:color w:val="auto"/>
                <w:sz w:val="24"/>
                <w:szCs w:val="24"/>
              </w:rPr>
              <w:t>，环境风险类型主要为泄漏、火灾。根据本项目的生产特点，将</w:t>
            </w:r>
            <w:r>
              <w:rPr>
                <w:rFonts w:hint="eastAsia"/>
                <w:color w:val="auto"/>
                <w:sz w:val="24"/>
                <w:szCs w:val="24"/>
              </w:rPr>
              <w:t>原料区</w:t>
            </w:r>
            <w:r>
              <w:rPr>
                <w:color w:val="auto"/>
                <w:sz w:val="24"/>
                <w:szCs w:val="24"/>
              </w:rPr>
              <w:t>、</w:t>
            </w:r>
            <w:r>
              <w:rPr>
                <w:rFonts w:hint="eastAsia"/>
                <w:color w:val="auto"/>
                <w:sz w:val="24"/>
                <w:szCs w:val="24"/>
              </w:rPr>
              <w:t>危废仓库、墨水中间库</w:t>
            </w:r>
            <w:r>
              <w:rPr>
                <w:color w:val="auto"/>
                <w:sz w:val="24"/>
                <w:szCs w:val="24"/>
              </w:rPr>
              <w:t>作为本项目重点防范目标。</w:t>
            </w:r>
          </w:p>
          <w:p w14:paraId="221BC0F0">
            <w:pPr>
              <w:adjustRightInd w:val="0"/>
              <w:snapToGrid w:val="0"/>
              <w:ind w:firstLine="480" w:firstLineChars="200"/>
              <w:rPr>
                <w:color w:val="auto"/>
                <w:sz w:val="24"/>
                <w:szCs w:val="24"/>
              </w:rPr>
            </w:pPr>
            <w:r>
              <w:rPr>
                <w:color w:val="auto"/>
                <w:sz w:val="24"/>
                <w:szCs w:val="24"/>
              </w:rPr>
              <w:t>（2）设立应急组织机构</w:t>
            </w:r>
          </w:p>
          <w:p w14:paraId="1DC57408">
            <w:pPr>
              <w:adjustRightInd w:val="0"/>
              <w:snapToGrid w:val="0"/>
              <w:ind w:firstLine="480" w:firstLineChars="200"/>
              <w:rPr>
                <w:color w:val="auto"/>
                <w:sz w:val="24"/>
                <w:szCs w:val="24"/>
              </w:rPr>
            </w:pPr>
            <w:r>
              <w:rPr>
                <w:color w:val="auto"/>
                <w:sz w:val="24"/>
                <w:szCs w:val="24"/>
              </w:rPr>
              <w:t>当发生突发事故时，应急救援组织能尽快地采取有效的措施，第一时间投入紧急事故的处理，以防事态进一步扩大。厂区设立的应急救援小组包括厂指挥部和专业救援队伍。厂指挥部负责现场全面指挥；专业救援队伍负责事故控制、救援和善后处理。按照公司“预防为主、自救为主、统一指挥、分工负责”的原则，公司成立“应急救援领导小组”。</w:t>
            </w:r>
          </w:p>
          <w:p w14:paraId="3B011D44">
            <w:pPr>
              <w:adjustRightInd w:val="0"/>
              <w:snapToGrid w:val="0"/>
              <w:ind w:firstLine="480" w:firstLineChars="200"/>
              <w:rPr>
                <w:color w:val="auto"/>
                <w:sz w:val="24"/>
                <w:szCs w:val="24"/>
              </w:rPr>
            </w:pPr>
            <w:r>
              <w:rPr>
                <w:color w:val="auto"/>
                <w:sz w:val="24"/>
                <w:szCs w:val="24"/>
              </w:rPr>
              <w:t>厂区应急救援领导小组下设应急救援指挥部，地点在公司安环部门。日常安全环保工作由安环主管管理。当发生重大事故时，由事故应急救援指挥部处理，调查事故。当应急救援总指挥不在公司内时，由副总指挥全权负责处理事故事宜，并以最快的速度，最佳的手段和方法，减少或避免事故的扩大以及不必要的人员伤亡和损失。</w:t>
            </w:r>
          </w:p>
          <w:p w14:paraId="34CC82AF">
            <w:pPr>
              <w:adjustRightInd w:val="0"/>
              <w:snapToGrid w:val="0"/>
              <w:ind w:firstLine="480" w:firstLineChars="200"/>
              <w:rPr>
                <w:color w:val="auto"/>
                <w:sz w:val="24"/>
                <w:szCs w:val="24"/>
              </w:rPr>
            </w:pPr>
            <w:r>
              <w:rPr>
                <w:color w:val="auto"/>
                <w:sz w:val="24"/>
                <w:szCs w:val="24"/>
              </w:rPr>
              <w:t>为了更好的处理应急事故，必须和地区的应急救援组织</w:t>
            </w:r>
            <w:r>
              <w:rPr>
                <w:rFonts w:hint="eastAsia"/>
                <w:color w:val="auto"/>
                <w:sz w:val="24"/>
                <w:szCs w:val="24"/>
              </w:rPr>
              <w:t>寻求</w:t>
            </w:r>
            <w:r>
              <w:rPr>
                <w:color w:val="auto"/>
                <w:sz w:val="24"/>
                <w:szCs w:val="24"/>
              </w:rPr>
              <w:t>支援，事发后先报警或通知附近的救援组织。地区的应急救援组织在接到救援电话后，以最快的速度赶到事发地。地区应急救援组织的指挥部负责工厂附近地区全面指挥、救援、管制和疏散，地区专业救援组织负责</w:t>
            </w:r>
            <w:r>
              <w:rPr>
                <w:rFonts w:hint="eastAsia"/>
                <w:color w:val="auto"/>
                <w:sz w:val="24"/>
                <w:szCs w:val="24"/>
              </w:rPr>
              <w:t>对工</w:t>
            </w:r>
            <w:r>
              <w:rPr>
                <w:color w:val="auto"/>
                <w:sz w:val="24"/>
                <w:szCs w:val="24"/>
              </w:rPr>
              <w:t>厂专业救援队伍的支援。</w:t>
            </w:r>
          </w:p>
          <w:p w14:paraId="24BE4A45">
            <w:pPr>
              <w:adjustRightInd w:val="0"/>
              <w:snapToGrid w:val="0"/>
              <w:ind w:firstLine="480" w:firstLineChars="200"/>
              <w:rPr>
                <w:color w:val="auto"/>
                <w:sz w:val="24"/>
                <w:szCs w:val="24"/>
              </w:rPr>
            </w:pPr>
            <w:r>
              <w:rPr>
                <w:color w:val="auto"/>
                <w:sz w:val="24"/>
                <w:szCs w:val="24"/>
              </w:rPr>
              <w:t>（3）配备应急救援保障</w:t>
            </w:r>
          </w:p>
          <w:p w14:paraId="3333F29D">
            <w:pPr>
              <w:adjustRightInd w:val="0"/>
              <w:snapToGrid w:val="0"/>
              <w:ind w:firstLine="480" w:firstLineChars="200"/>
              <w:rPr>
                <w:color w:val="auto"/>
                <w:sz w:val="24"/>
                <w:szCs w:val="24"/>
              </w:rPr>
            </w:pPr>
            <w:r>
              <w:rPr>
                <w:color w:val="auto"/>
                <w:sz w:val="24"/>
                <w:szCs w:val="24"/>
              </w:rPr>
              <w:t>A、内部保障</w:t>
            </w:r>
          </w:p>
          <w:p w14:paraId="6AEF37B1">
            <w:pPr>
              <w:adjustRightInd w:val="0"/>
              <w:snapToGrid w:val="0"/>
              <w:ind w:firstLine="480" w:firstLineChars="200"/>
              <w:rPr>
                <w:color w:val="auto"/>
                <w:sz w:val="24"/>
                <w:szCs w:val="24"/>
              </w:rPr>
            </w:pPr>
            <w:r>
              <w:rPr>
                <w:color w:val="auto"/>
                <w:sz w:val="24"/>
                <w:szCs w:val="24"/>
              </w:rPr>
              <w:t>整个厂区的公用工程、行政管理及生产设施人员全部由公司统一配置。</w:t>
            </w:r>
          </w:p>
          <w:p w14:paraId="76386627">
            <w:pPr>
              <w:adjustRightInd w:val="0"/>
              <w:snapToGrid w:val="0"/>
              <w:ind w:firstLine="480" w:firstLineChars="200"/>
              <w:rPr>
                <w:color w:val="auto"/>
                <w:sz w:val="24"/>
                <w:szCs w:val="24"/>
              </w:rPr>
            </w:pPr>
            <w:r>
              <w:rPr>
                <w:color w:val="auto"/>
                <w:sz w:val="24"/>
                <w:szCs w:val="24"/>
              </w:rPr>
              <w:t>a、应急队伍：按照相关要求，由工业区消防中队负责厂区消防工作。整个厂区实施统一规划，厂内所有职工在紧急情况下，均可以参与应急救援。</w:t>
            </w:r>
          </w:p>
          <w:p w14:paraId="6CB3D2E3">
            <w:pPr>
              <w:adjustRightInd w:val="0"/>
              <w:snapToGrid w:val="0"/>
              <w:ind w:firstLine="480" w:firstLineChars="200"/>
              <w:rPr>
                <w:color w:val="auto"/>
                <w:sz w:val="24"/>
                <w:szCs w:val="24"/>
              </w:rPr>
            </w:pPr>
            <w:r>
              <w:rPr>
                <w:color w:val="auto"/>
                <w:sz w:val="24"/>
                <w:szCs w:val="24"/>
              </w:rPr>
              <w:t>b、应急资料：消防设施配置图、现场平面布置图和周围地区图、气象资料、危险化学品安全技术说明书、互救信息等存放在安环部门办公室，由安环主管保管。</w:t>
            </w:r>
          </w:p>
          <w:p w14:paraId="49AE3DE2">
            <w:pPr>
              <w:adjustRightInd w:val="0"/>
              <w:snapToGrid w:val="0"/>
              <w:ind w:firstLine="480" w:firstLineChars="200"/>
              <w:rPr>
                <w:color w:val="auto"/>
                <w:sz w:val="24"/>
                <w:szCs w:val="24"/>
              </w:rPr>
            </w:pPr>
            <w:r>
              <w:rPr>
                <w:rFonts w:hint="eastAsia"/>
                <w:color w:val="auto"/>
                <w:sz w:val="24"/>
                <w:szCs w:val="24"/>
              </w:rPr>
              <w:t>c、应急物资：厂区配备一定数量的应急物资，具体见表4-24。</w:t>
            </w:r>
          </w:p>
          <w:p w14:paraId="4FDB578A">
            <w:pPr>
              <w:adjustRightInd w:val="0"/>
              <w:snapToGrid w:val="0"/>
              <w:ind w:firstLine="480" w:firstLineChars="200"/>
              <w:rPr>
                <w:color w:val="auto"/>
                <w:sz w:val="24"/>
                <w:szCs w:val="24"/>
              </w:rPr>
            </w:pPr>
            <w:r>
              <w:rPr>
                <w:color w:val="auto"/>
                <w:sz w:val="24"/>
                <w:szCs w:val="24"/>
              </w:rPr>
              <w:t>B、外部救援</w:t>
            </w:r>
          </w:p>
          <w:p w14:paraId="2CBA2226">
            <w:pPr>
              <w:adjustRightInd w:val="0"/>
              <w:snapToGrid w:val="0"/>
              <w:ind w:firstLine="480" w:firstLineChars="200"/>
              <w:rPr>
                <w:color w:val="auto"/>
                <w:sz w:val="24"/>
                <w:szCs w:val="24"/>
              </w:rPr>
            </w:pPr>
            <w:r>
              <w:rPr>
                <w:color w:val="auto"/>
                <w:sz w:val="24"/>
                <w:szCs w:val="24"/>
              </w:rPr>
              <w:t>a、单位互助，平时与周邻单位约定救援信号，届时发出信号请求救援。</w:t>
            </w:r>
          </w:p>
          <w:p w14:paraId="7BBCDD8C">
            <w:pPr>
              <w:adjustRightInd w:val="0"/>
              <w:snapToGrid w:val="0"/>
              <w:ind w:firstLine="480" w:firstLineChars="200"/>
              <w:rPr>
                <w:color w:val="auto"/>
                <w:sz w:val="24"/>
                <w:szCs w:val="24"/>
              </w:rPr>
            </w:pPr>
            <w:r>
              <w:rPr>
                <w:color w:val="auto"/>
                <w:sz w:val="24"/>
                <w:szCs w:val="24"/>
              </w:rPr>
              <w:t>b、平时与当地消防部门和医院（卫生院）加强联系，</w:t>
            </w:r>
            <w:r>
              <w:rPr>
                <w:rFonts w:hint="eastAsia"/>
                <w:color w:val="auto"/>
                <w:sz w:val="24"/>
                <w:szCs w:val="24"/>
              </w:rPr>
              <w:t>及时</w:t>
            </w:r>
            <w:r>
              <w:rPr>
                <w:color w:val="auto"/>
                <w:sz w:val="24"/>
                <w:szCs w:val="24"/>
              </w:rPr>
              <w:t>请求救援。</w:t>
            </w:r>
          </w:p>
          <w:p w14:paraId="178C4A95">
            <w:pPr>
              <w:adjustRightInd w:val="0"/>
              <w:snapToGrid w:val="0"/>
              <w:ind w:firstLine="480" w:firstLineChars="200"/>
              <w:rPr>
                <w:color w:val="auto"/>
                <w:sz w:val="24"/>
                <w:szCs w:val="24"/>
              </w:rPr>
            </w:pPr>
            <w:r>
              <w:rPr>
                <w:color w:val="auto"/>
                <w:sz w:val="24"/>
                <w:szCs w:val="24"/>
              </w:rPr>
              <w:t>c、请求政府协调应急救援力量。</w:t>
            </w:r>
          </w:p>
          <w:p w14:paraId="7C160061">
            <w:pPr>
              <w:adjustRightInd w:val="0"/>
              <w:snapToGrid w:val="0"/>
              <w:ind w:firstLine="480" w:firstLineChars="200"/>
              <w:rPr>
                <w:color w:val="auto"/>
                <w:sz w:val="24"/>
                <w:szCs w:val="24"/>
              </w:rPr>
            </w:pPr>
            <w:r>
              <w:rPr>
                <w:color w:val="auto"/>
                <w:sz w:val="24"/>
                <w:szCs w:val="24"/>
              </w:rPr>
              <w:t>d、应急救援信息咨询和专家信息。</w:t>
            </w:r>
          </w:p>
          <w:p w14:paraId="731989AA">
            <w:pPr>
              <w:adjustRightInd w:val="0"/>
              <w:snapToGrid w:val="0"/>
              <w:ind w:firstLine="480" w:firstLineChars="200"/>
              <w:rPr>
                <w:color w:val="auto"/>
                <w:sz w:val="24"/>
                <w:szCs w:val="24"/>
              </w:rPr>
            </w:pPr>
            <w:r>
              <w:rPr>
                <w:color w:val="auto"/>
                <w:sz w:val="24"/>
                <w:szCs w:val="24"/>
              </w:rPr>
              <w:t>（4）规定报警、通讯联络方式</w:t>
            </w:r>
          </w:p>
          <w:p w14:paraId="35C3257C">
            <w:pPr>
              <w:adjustRightInd w:val="0"/>
              <w:snapToGrid w:val="0"/>
              <w:ind w:firstLine="480" w:firstLineChars="200"/>
              <w:rPr>
                <w:color w:val="auto"/>
                <w:sz w:val="24"/>
                <w:szCs w:val="24"/>
              </w:rPr>
            </w:pPr>
            <w:r>
              <w:rPr>
                <w:color w:val="auto"/>
                <w:sz w:val="24"/>
                <w:szCs w:val="24"/>
              </w:rPr>
              <w:t>生产车间和办公室都必须在醒目处张贴应急状态下的报警通讯方式，地区应急救援组织的通知方式，医疗救护联系方式、交通管制部门联系方式等。</w:t>
            </w:r>
          </w:p>
          <w:p w14:paraId="1A81E116">
            <w:pPr>
              <w:adjustRightInd w:val="0"/>
              <w:snapToGrid w:val="0"/>
              <w:ind w:firstLine="480" w:firstLineChars="200"/>
              <w:rPr>
                <w:color w:val="auto"/>
                <w:sz w:val="24"/>
                <w:szCs w:val="24"/>
              </w:rPr>
            </w:pPr>
            <w:r>
              <w:rPr>
                <w:color w:val="auto"/>
                <w:sz w:val="24"/>
                <w:szCs w:val="24"/>
              </w:rPr>
              <w:t>各救援人员配备手机等，用于事故发生时的通讯联络和应急救援。</w:t>
            </w:r>
          </w:p>
          <w:p w14:paraId="03A4D712">
            <w:pPr>
              <w:adjustRightInd w:val="0"/>
              <w:snapToGrid w:val="0"/>
              <w:ind w:firstLine="480" w:firstLineChars="200"/>
              <w:rPr>
                <w:color w:val="auto"/>
                <w:sz w:val="24"/>
                <w:szCs w:val="24"/>
              </w:rPr>
            </w:pPr>
            <w:r>
              <w:rPr>
                <w:color w:val="auto"/>
                <w:sz w:val="24"/>
                <w:szCs w:val="24"/>
              </w:rPr>
              <w:t>（5）事故处理</w:t>
            </w:r>
          </w:p>
          <w:p w14:paraId="65DB8B5A">
            <w:pPr>
              <w:adjustRightInd w:val="0"/>
              <w:snapToGrid w:val="0"/>
              <w:ind w:firstLine="480" w:firstLineChars="200"/>
              <w:rPr>
                <w:color w:val="auto"/>
                <w:sz w:val="24"/>
                <w:szCs w:val="24"/>
              </w:rPr>
            </w:pPr>
            <w:r>
              <w:rPr>
                <w:color w:val="auto"/>
                <w:sz w:val="24"/>
                <w:szCs w:val="24"/>
              </w:rPr>
              <w:t>当事故发生时，厂区内必须针对事故及时采取治理措施。一旦发生事故时，做到立即响应，并且充分发挥整体组织功能，在人身确保安全的前提下，采取相应措施，将灾害减到最低程度，避免火势扩大殃及周围场所，避免造成重大人员伤亡。</w:t>
            </w:r>
          </w:p>
          <w:p w14:paraId="327DF647">
            <w:pPr>
              <w:adjustRightInd w:val="0"/>
              <w:snapToGrid w:val="0"/>
              <w:ind w:firstLine="480" w:firstLineChars="200"/>
              <w:rPr>
                <w:color w:val="auto"/>
                <w:sz w:val="24"/>
                <w:szCs w:val="24"/>
              </w:rPr>
            </w:pPr>
            <w:r>
              <w:rPr>
                <w:color w:val="auto"/>
                <w:sz w:val="24"/>
                <w:szCs w:val="24"/>
              </w:rPr>
              <w:t>（6）应急监测</w:t>
            </w:r>
          </w:p>
          <w:p w14:paraId="255DE1EE">
            <w:pPr>
              <w:adjustRightInd w:val="0"/>
              <w:snapToGrid w:val="0"/>
              <w:ind w:firstLine="480" w:firstLineChars="200"/>
              <w:rPr>
                <w:color w:val="auto"/>
                <w:sz w:val="24"/>
                <w:szCs w:val="24"/>
              </w:rPr>
            </w:pPr>
            <w:r>
              <w:rPr>
                <w:color w:val="auto"/>
                <w:sz w:val="24"/>
                <w:szCs w:val="24"/>
              </w:rPr>
              <w:t>突发环境事件发生后，迅速组织监测人员赶赴现场，确定监测方案，及时开展应急监测工作。应急监测时应按照《突发环境事件应急监测技术规范》（HJ589-2021）等文件的要求进行。</w:t>
            </w:r>
          </w:p>
          <w:p w14:paraId="1DB11CAA">
            <w:pPr>
              <w:adjustRightInd w:val="0"/>
              <w:snapToGrid w:val="0"/>
              <w:ind w:firstLine="480" w:firstLineChars="200"/>
              <w:rPr>
                <w:color w:val="auto"/>
                <w:sz w:val="24"/>
                <w:szCs w:val="24"/>
              </w:rPr>
            </w:pPr>
            <w:r>
              <w:rPr>
                <w:color w:val="auto"/>
                <w:sz w:val="24"/>
                <w:szCs w:val="24"/>
              </w:rPr>
              <w:t>由于企业应急监测能力不足，委托第三方监测机构对事故现场进行现场应急监测，对事故性质、参数与后果进行评估，为指挥部门提供决策依据。</w:t>
            </w:r>
          </w:p>
          <w:p w14:paraId="2EA557E3">
            <w:pPr>
              <w:adjustRightInd w:val="0"/>
              <w:snapToGrid w:val="0"/>
              <w:ind w:firstLine="480" w:firstLineChars="200"/>
              <w:rPr>
                <w:color w:val="auto"/>
                <w:sz w:val="24"/>
                <w:szCs w:val="24"/>
              </w:rPr>
            </w:pPr>
            <w:r>
              <w:rPr>
                <w:color w:val="auto"/>
                <w:sz w:val="24"/>
                <w:szCs w:val="24"/>
              </w:rPr>
              <w:t>a.水污染源监测</w:t>
            </w:r>
          </w:p>
          <w:p w14:paraId="182966CD">
            <w:pPr>
              <w:adjustRightInd w:val="0"/>
              <w:snapToGrid w:val="0"/>
              <w:ind w:firstLine="480" w:firstLineChars="200"/>
              <w:rPr>
                <w:color w:val="auto"/>
                <w:sz w:val="24"/>
                <w:szCs w:val="24"/>
              </w:rPr>
            </w:pPr>
            <w:r>
              <w:rPr>
                <w:color w:val="auto"/>
                <w:sz w:val="24"/>
                <w:szCs w:val="24"/>
              </w:rPr>
              <w:t>监测点布设：地表水下游监测断面。</w:t>
            </w:r>
          </w:p>
          <w:p w14:paraId="075976F4">
            <w:pPr>
              <w:adjustRightInd w:val="0"/>
              <w:snapToGrid w:val="0"/>
              <w:ind w:firstLine="480" w:firstLineChars="200"/>
              <w:rPr>
                <w:color w:val="auto"/>
                <w:sz w:val="24"/>
                <w:szCs w:val="24"/>
              </w:rPr>
            </w:pPr>
            <w:r>
              <w:rPr>
                <w:color w:val="auto"/>
                <w:sz w:val="24"/>
                <w:szCs w:val="24"/>
              </w:rPr>
              <w:t>监测项目：pH、COD、SS、氨氮、TN等；特征污染物根据发生事故时的实际情况确定。</w:t>
            </w:r>
          </w:p>
          <w:p w14:paraId="0E353620">
            <w:pPr>
              <w:adjustRightInd w:val="0"/>
              <w:snapToGrid w:val="0"/>
              <w:ind w:firstLine="480" w:firstLineChars="200"/>
              <w:rPr>
                <w:color w:val="auto"/>
                <w:sz w:val="24"/>
                <w:szCs w:val="24"/>
              </w:rPr>
            </w:pPr>
            <w:r>
              <w:rPr>
                <w:color w:val="auto"/>
                <w:sz w:val="24"/>
                <w:szCs w:val="24"/>
              </w:rPr>
              <w:t>监测频次：</w:t>
            </w:r>
            <w:r>
              <w:rPr>
                <w:rFonts w:hint="eastAsia"/>
                <w:color w:val="auto"/>
                <w:sz w:val="24"/>
                <w:szCs w:val="24"/>
              </w:rPr>
              <w:t>应急初期，控制断面原则上每1~2小时开展一次监测，其中，各控制断面采样时间应相同。用于发布信息的断面原则上每天监测次数不少于1次。根据处置情况和污染物浓度变化态势进行动态调整。</w:t>
            </w:r>
          </w:p>
          <w:p w14:paraId="2A6A280B">
            <w:pPr>
              <w:adjustRightInd w:val="0"/>
              <w:snapToGrid w:val="0"/>
              <w:ind w:firstLine="480" w:firstLineChars="200"/>
              <w:rPr>
                <w:color w:val="auto"/>
                <w:sz w:val="24"/>
                <w:szCs w:val="24"/>
              </w:rPr>
            </w:pPr>
            <w:r>
              <w:rPr>
                <w:color w:val="auto"/>
                <w:sz w:val="24"/>
                <w:szCs w:val="24"/>
              </w:rPr>
              <w:t>监测采样和分析方法：《环境监测技术规范》和《地表水和污水监测技术规范》。</w:t>
            </w:r>
          </w:p>
          <w:p w14:paraId="458EED3C">
            <w:pPr>
              <w:adjustRightInd w:val="0"/>
              <w:snapToGrid w:val="0"/>
              <w:ind w:firstLine="480" w:firstLineChars="200"/>
              <w:rPr>
                <w:color w:val="auto"/>
                <w:sz w:val="24"/>
                <w:szCs w:val="24"/>
              </w:rPr>
            </w:pPr>
            <w:r>
              <w:rPr>
                <w:color w:val="auto"/>
                <w:sz w:val="24"/>
                <w:szCs w:val="24"/>
              </w:rPr>
              <w:t>b.大气污染源监测</w:t>
            </w:r>
          </w:p>
          <w:p w14:paraId="172FFC54">
            <w:pPr>
              <w:adjustRightInd w:val="0"/>
              <w:snapToGrid w:val="0"/>
              <w:ind w:firstLine="480" w:firstLineChars="200"/>
              <w:rPr>
                <w:color w:val="auto"/>
                <w:sz w:val="24"/>
                <w:szCs w:val="24"/>
              </w:rPr>
            </w:pPr>
            <w:r>
              <w:rPr>
                <w:color w:val="auto"/>
                <w:sz w:val="24"/>
                <w:szCs w:val="24"/>
              </w:rPr>
              <w:t>监测点布设：厂内、厂边界，下风向最近敏感点监测布点；</w:t>
            </w:r>
          </w:p>
          <w:p w14:paraId="26EFDAB7">
            <w:pPr>
              <w:adjustRightInd w:val="0"/>
              <w:snapToGrid w:val="0"/>
              <w:ind w:firstLine="480" w:firstLineChars="200"/>
              <w:rPr>
                <w:color w:val="auto"/>
                <w:sz w:val="24"/>
                <w:szCs w:val="24"/>
              </w:rPr>
            </w:pPr>
            <w:r>
              <w:rPr>
                <w:color w:val="auto"/>
                <w:sz w:val="24"/>
                <w:szCs w:val="24"/>
              </w:rPr>
              <w:t>监测项目：</w:t>
            </w:r>
            <w:r>
              <w:rPr>
                <w:rFonts w:hint="eastAsia"/>
                <w:color w:val="auto"/>
                <w:sz w:val="24"/>
                <w:szCs w:val="24"/>
              </w:rPr>
              <w:t>颗粒物、VOCs、</w:t>
            </w:r>
            <w:r>
              <w:rPr>
                <w:color w:val="auto"/>
                <w:sz w:val="24"/>
                <w:szCs w:val="24"/>
              </w:rPr>
              <w:t>SO</w:t>
            </w:r>
            <w:r>
              <w:rPr>
                <w:color w:val="auto"/>
                <w:sz w:val="24"/>
                <w:szCs w:val="24"/>
                <w:vertAlign w:val="subscript"/>
              </w:rPr>
              <w:t>2</w:t>
            </w:r>
            <w:r>
              <w:rPr>
                <w:color w:val="auto"/>
                <w:sz w:val="24"/>
                <w:szCs w:val="24"/>
              </w:rPr>
              <w:t>、NOx、CO等；特征污染物根据发生事故时的实际情况确定。</w:t>
            </w:r>
          </w:p>
          <w:p w14:paraId="5AA65ACC">
            <w:pPr>
              <w:adjustRightInd w:val="0"/>
              <w:snapToGrid w:val="0"/>
              <w:ind w:firstLine="480" w:firstLineChars="200"/>
              <w:rPr>
                <w:color w:val="auto"/>
                <w:sz w:val="24"/>
                <w:szCs w:val="24"/>
              </w:rPr>
            </w:pPr>
            <w:r>
              <w:rPr>
                <w:color w:val="auto"/>
                <w:sz w:val="24"/>
                <w:szCs w:val="24"/>
              </w:rPr>
              <w:t>监测频次：</w:t>
            </w:r>
            <w:r>
              <w:rPr>
                <w:rFonts w:hint="eastAsia"/>
                <w:color w:val="auto"/>
                <w:sz w:val="24"/>
                <w:szCs w:val="24"/>
              </w:rPr>
              <w:t>事故初期每1～2小时监测1次；确定特征污染物扩散趋势后，重点围绕敏感点每1～2小时监测1次；事故现场无明火、浓烟、异味，受影响人员无明显不良反应等情况时，每天监测1～3次，或根据应急组织指挥机构部署确定监测频次；各点位应同步开展监测。</w:t>
            </w:r>
          </w:p>
          <w:p w14:paraId="3AF6266A">
            <w:pPr>
              <w:adjustRightInd w:val="0"/>
              <w:snapToGrid w:val="0"/>
              <w:ind w:firstLine="480" w:firstLineChars="200"/>
              <w:rPr>
                <w:color w:val="auto"/>
                <w:sz w:val="24"/>
                <w:szCs w:val="24"/>
              </w:rPr>
            </w:pPr>
            <w:r>
              <w:rPr>
                <w:color w:val="auto"/>
                <w:sz w:val="24"/>
                <w:szCs w:val="24"/>
              </w:rPr>
              <w:t>监测采样及分析方法：《环境监测技术规范》、《空气和废气监测分析方法》。</w:t>
            </w:r>
          </w:p>
          <w:p w14:paraId="102C9657">
            <w:pPr>
              <w:adjustRightInd w:val="0"/>
              <w:snapToGrid w:val="0"/>
              <w:ind w:firstLine="480" w:firstLineChars="200"/>
              <w:rPr>
                <w:color w:val="auto"/>
                <w:sz w:val="24"/>
                <w:szCs w:val="24"/>
              </w:rPr>
            </w:pPr>
            <w:r>
              <w:rPr>
                <w:color w:val="auto"/>
                <w:sz w:val="24"/>
                <w:szCs w:val="24"/>
              </w:rPr>
              <w:t>（7）制定和实施应急培训计划</w:t>
            </w:r>
          </w:p>
          <w:p w14:paraId="19903550">
            <w:pPr>
              <w:adjustRightInd w:val="0"/>
              <w:snapToGrid w:val="0"/>
              <w:ind w:firstLine="480" w:firstLineChars="200"/>
              <w:rPr>
                <w:color w:val="auto"/>
                <w:sz w:val="24"/>
                <w:szCs w:val="24"/>
              </w:rPr>
            </w:pPr>
            <w:r>
              <w:rPr>
                <w:color w:val="auto"/>
                <w:sz w:val="24"/>
                <w:szCs w:val="24"/>
              </w:rPr>
              <w:t>安环部门应定期组织开展全员安全教育和业务技术培训，掌握事故应急处理措施，并能及时正确进行事故应急处置。会正确使用各种灭火器材，发生事故及时报警。义务消防队员要经常开展业务技术训练和突发性事故应急救援训练。</w:t>
            </w:r>
          </w:p>
          <w:p w14:paraId="4C5A1042">
            <w:pPr>
              <w:adjustRightInd w:val="0"/>
              <w:snapToGrid w:val="0"/>
              <w:ind w:firstLine="480" w:firstLineChars="200"/>
              <w:rPr>
                <w:color w:val="auto"/>
                <w:sz w:val="24"/>
                <w:szCs w:val="24"/>
              </w:rPr>
            </w:pPr>
            <w:r>
              <w:rPr>
                <w:color w:val="auto"/>
                <w:sz w:val="24"/>
                <w:szCs w:val="24"/>
              </w:rPr>
              <w:t>（8）与《江阴市周庄镇突发环境事件应急预案》衔接</w:t>
            </w:r>
          </w:p>
          <w:p w14:paraId="362E97C8">
            <w:pPr>
              <w:adjustRightInd w:val="0"/>
              <w:snapToGrid w:val="0"/>
              <w:ind w:firstLine="480" w:firstLineChars="200"/>
              <w:rPr>
                <w:color w:val="auto"/>
                <w:sz w:val="24"/>
                <w:szCs w:val="24"/>
              </w:rPr>
            </w:pPr>
            <w:r>
              <w:rPr>
                <w:color w:val="auto"/>
                <w:sz w:val="24"/>
                <w:szCs w:val="24"/>
              </w:rPr>
              <w:t>江阴市周庄镇环境风险应急管理实行一、二、三级管理，以</w:t>
            </w:r>
            <w:r>
              <w:rPr>
                <w:rFonts w:hint="eastAsia"/>
                <w:color w:val="auto"/>
                <w:sz w:val="24"/>
                <w:szCs w:val="24"/>
              </w:rPr>
              <w:t>镇</w:t>
            </w:r>
            <w:r>
              <w:rPr>
                <w:color w:val="auto"/>
                <w:sz w:val="24"/>
                <w:szCs w:val="24"/>
              </w:rPr>
              <w:t>突发环境事件应急救援中心为核心，与江阴市应急救援中心（上级）和区内企业应急救援中心（下级）形成联动机制的三级应急救援管理体系。</w:t>
            </w:r>
          </w:p>
          <w:p w14:paraId="3481AB66">
            <w:pPr>
              <w:adjustRightInd w:val="0"/>
              <w:snapToGrid w:val="0"/>
              <w:ind w:firstLine="480" w:firstLineChars="200"/>
              <w:rPr>
                <w:color w:val="auto"/>
                <w:sz w:val="24"/>
                <w:szCs w:val="24"/>
              </w:rPr>
            </w:pPr>
            <w:r>
              <w:rPr>
                <w:color w:val="auto"/>
                <w:sz w:val="24"/>
                <w:szCs w:val="24"/>
              </w:rPr>
              <w:t>当发生一般污染事故，在污染事故现场处置妥当后，经应急指挥小组研究确定后，向周庄镇</w:t>
            </w:r>
            <w:r>
              <w:rPr>
                <w:rFonts w:hint="eastAsia"/>
                <w:color w:val="auto"/>
                <w:sz w:val="24"/>
                <w:szCs w:val="24"/>
              </w:rPr>
              <w:t>环保所</w:t>
            </w:r>
            <w:r>
              <w:rPr>
                <w:color w:val="auto"/>
                <w:sz w:val="24"/>
                <w:szCs w:val="24"/>
              </w:rPr>
              <w:t>有关部门报告处理结果。当发生较大或严重污染事故，应急指挥小组在接到事故报警后，及时向周庄镇应急处理指挥部报告，并请求支援；周庄镇应急处理指挥部进行紧急动员，适时启动区域的环境污染事故应急预案，迅速调集救援力量，指挥相关单位、相关职能部门，根据应急预案组成各个应急行动小组，按照各自的职责和现场救援具体方案开展抢险救援工作，厂内应急小组听从周庄镇现场指挥部的领导。现场指挥部同时将有关进展情况向江阴市应急处理指挥部汇报；污染事故基本控制稳定后，现场应急指挥部将根据专家意见，迅速调集后援力量展开事故处置工作。现场应急处理结束。</w:t>
            </w:r>
          </w:p>
          <w:p w14:paraId="6D99366D">
            <w:pPr>
              <w:adjustRightInd w:val="0"/>
              <w:snapToGrid w:val="0"/>
              <w:ind w:firstLine="480" w:firstLineChars="200"/>
              <w:rPr>
                <w:color w:val="auto"/>
                <w:sz w:val="24"/>
                <w:szCs w:val="24"/>
              </w:rPr>
            </w:pPr>
            <w:r>
              <w:rPr>
                <w:color w:val="auto"/>
                <w:sz w:val="24"/>
                <w:szCs w:val="24"/>
              </w:rPr>
              <w:t>当污染事故又进一步扩大、发展趋势，或因事故衍生问题造成重大社会不稳定事态，现场应急指挥部将根据事态发展，及时调整应急响应级别，发布预警信息，同时向江阴市应急处理指挥部请求援助。</w:t>
            </w:r>
          </w:p>
          <w:p w14:paraId="29C9F3A7">
            <w:pPr>
              <w:pStyle w:val="13"/>
              <w:adjustRightInd w:val="0"/>
              <w:snapToGrid w:val="0"/>
              <w:spacing w:after="0"/>
              <w:ind w:left="0" w:leftChars="0" w:right="0" w:rightChars="0" w:firstLine="482" w:firstLineChars="200"/>
              <w:rPr>
                <w:b/>
                <w:bCs/>
                <w:color w:val="auto"/>
                <w:sz w:val="24"/>
                <w:szCs w:val="24"/>
              </w:rPr>
            </w:pPr>
            <w:r>
              <w:rPr>
                <w:b/>
                <w:bCs/>
                <w:color w:val="auto"/>
                <w:sz w:val="24"/>
                <w:szCs w:val="24"/>
              </w:rPr>
              <w:t>8、电磁辐射</w:t>
            </w:r>
          </w:p>
          <w:p w14:paraId="4395117A">
            <w:pPr>
              <w:adjustRightInd w:val="0"/>
              <w:snapToGrid w:val="0"/>
              <w:ind w:firstLine="480" w:firstLineChars="200"/>
              <w:rPr>
                <w:color w:val="auto"/>
                <w:kern w:val="0"/>
                <w:sz w:val="24"/>
                <w:szCs w:val="24"/>
              </w:rPr>
            </w:pPr>
            <w:r>
              <w:rPr>
                <w:color w:val="auto"/>
                <w:sz w:val="24"/>
                <w:szCs w:val="24"/>
              </w:rPr>
              <w:t>本项目不属于电磁辐射类项目，因此无需相应电磁辐射环保措施。</w:t>
            </w:r>
          </w:p>
          <w:p w14:paraId="48CC5DEC">
            <w:pPr>
              <w:adjustRightInd w:val="0"/>
              <w:snapToGrid w:val="0"/>
              <w:ind w:firstLine="480" w:firstLineChars="200"/>
              <w:rPr>
                <w:color w:val="auto"/>
                <w:kern w:val="0"/>
                <w:sz w:val="24"/>
                <w:szCs w:val="24"/>
              </w:rPr>
            </w:pPr>
          </w:p>
        </w:tc>
      </w:tr>
    </w:tbl>
    <w:p w14:paraId="0D767587">
      <w:pPr>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14:paraId="14878759">
      <w:pPr>
        <w:pStyle w:val="21"/>
        <w:jc w:val="center"/>
        <w:outlineLvl w:val="0"/>
        <w:rPr>
          <w:rFonts w:ascii="黑体" w:hAnsi="黑体" w:eastAsia="黑体" w:cs="黑体"/>
          <w:snapToGrid w:val="0"/>
          <w:color w:val="auto"/>
          <w:sz w:val="30"/>
          <w:szCs w:val="30"/>
        </w:rPr>
      </w:pPr>
      <w:r>
        <w:rPr>
          <w:rFonts w:hint="eastAsia" w:ascii="黑体" w:hAnsi="黑体" w:eastAsia="黑体" w:cs="黑体"/>
          <w:snapToGrid w:val="0"/>
          <w:color w:val="auto"/>
          <w:sz w:val="30"/>
          <w:szCs w:val="30"/>
        </w:rPr>
        <w:t>五、</w:t>
      </w:r>
      <w:bookmarkStart w:id="2" w:name="_Hlk54167917"/>
      <w:r>
        <w:rPr>
          <w:rFonts w:hint="eastAsia" w:ascii="黑体" w:hAnsi="黑体" w:eastAsia="黑体" w:cs="黑体"/>
          <w:snapToGrid w:val="0"/>
          <w:color w:val="auto"/>
          <w:sz w:val="30"/>
          <w:szCs w:val="30"/>
        </w:rPr>
        <w:t>环境保护措施监督检查清单</w:t>
      </w:r>
      <w:bookmarkEnd w:id="2"/>
      <w:r>
        <w:rPr>
          <w:rFonts w:hint="eastAsia" w:ascii="黑体" w:hAnsi="黑体" w:eastAsia="黑体" w:cs="黑体"/>
          <w:snapToGrid w:val="0"/>
          <w:color w:val="auto"/>
          <w:sz w:val="30"/>
          <w:szCs w:val="30"/>
        </w:rPr>
        <w:t>（全厂）</w:t>
      </w:r>
    </w:p>
    <w:tbl>
      <w:tblPr>
        <w:tblStyle w:val="26"/>
        <w:tblW w:w="920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210"/>
        <w:gridCol w:w="1303"/>
        <w:gridCol w:w="1512"/>
        <w:gridCol w:w="1185"/>
        <w:gridCol w:w="1097"/>
        <w:gridCol w:w="1098"/>
        <w:gridCol w:w="1799"/>
      </w:tblGrid>
      <w:tr w14:paraId="52CBD7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10" w:type="dxa"/>
            <w:tcBorders>
              <w:tl2br w:val="single" w:color="auto" w:sz="4" w:space="0"/>
            </w:tcBorders>
          </w:tcPr>
          <w:p w14:paraId="2E6029DD">
            <w:pPr>
              <w:adjustRightInd w:val="0"/>
              <w:snapToGrid w:val="0"/>
              <w:spacing w:line="240" w:lineRule="auto"/>
              <w:ind w:firstLine="480" w:firstLineChars="200"/>
              <w:rPr>
                <w:color w:val="auto"/>
                <w:sz w:val="24"/>
                <w:szCs w:val="24"/>
              </w:rPr>
            </w:pPr>
            <w:r>
              <w:rPr>
                <w:color w:val="auto"/>
                <w:sz w:val="24"/>
                <w:szCs w:val="24"/>
              </w:rPr>
              <w:t>内容</w:t>
            </w:r>
          </w:p>
          <w:p w14:paraId="3A32D688">
            <w:pPr>
              <w:adjustRightInd w:val="0"/>
              <w:snapToGrid w:val="0"/>
              <w:spacing w:line="240" w:lineRule="auto"/>
              <w:rPr>
                <w:color w:val="auto"/>
                <w:sz w:val="24"/>
                <w:szCs w:val="24"/>
              </w:rPr>
            </w:pPr>
          </w:p>
          <w:p w14:paraId="4B5CF1AD">
            <w:pPr>
              <w:adjustRightInd w:val="0"/>
              <w:snapToGrid w:val="0"/>
              <w:spacing w:line="240" w:lineRule="auto"/>
              <w:rPr>
                <w:color w:val="auto"/>
                <w:sz w:val="24"/>
                <w:szCs w:val="24"/>
              </w:rPr>
            </w:pPr>
          </w:p>
          <w:p w14:paraId="47B0649F">
            <w:pPr>
              <w:adjustRightInd w:val="0"/>
              <w:snapToGrid w:val="0"/>
              <w:spacing w:line="240" w:lineRule="auto"/>
              <w:rPr>
                <w:color w:val="auto"/>
                <w:sz w:val="24"/>
                <w:szCs w:val="24"/>
              </w:rPr>
            </w:pPr>
            <w:r>
              <w:rPr>
                <w:color w:val="auto"/>
                <w:sz w:val="24"/>
                <w:szCs w:val="24"/>
              </w:rPr>
              <w:t>要素</w:t>
            </w:r>
          </w:p>
        </w:tc>
        <w:tc>
          <w:tcPr>
            <w:tcW w:w="1303" w:type="dxa"/>
            <w:vAlign w:val="center"/>
          </w:tcPr>
          <w:p w14:paraId="5510FB61">
            <w:pPr>
              <w:adjustRightInd w:val="0"/>
              <w:snapToGrid w:val="0"/>
              <w:spacing w:line="240" w:lineRule="auto"/>
              <w:jc w:val="center"/>
              <w:rPr>
                <w:color w:val="auto"/>
                <w:sz w:val="24"/>
                <w:szCs w:val="24"/>
              </w:rPr>
            </w:pPr>
            <w:r>
              <w:rPr>
                <w:color w:val="auto"/>
                <w:sz w:val="24"/>
                <w:szCs w:val="24"/>
              </w:rPr>
              <w:t>排放口(编号、</w:t>
            </w:r>
          </w:p>
          <w:p w14:paraId="0788AD5B">
            <w:pPr>
              <w:adjustRightInd w:val="0"/>
              <w:snapToGrid w:val="0"/>
              <w:spacing w:line="240" w:lineRule="auto"/>
              <w:jc w:val="center"/>
              <w:rPr>
                <w:color w:val="auto"/>
                <w:sz w:val="24"/>
                <w:szCs w:val="24"/>
              </w:rPr>
            </w:pPr>
            <w:r>
              <w:rPr>
                <w:color w:val="auto"/>
                <w:sz w:val="24"/>
                <w:szCs w:val="24"/>
              </w:rPr>
              <w:t>名称)/污染源</w:t>
            </w:r>
          </w:p>
        </w:tc>
        <w:tc>
          <w:tcPr>
            <w:tcW w:w="1512" w:type="dxa"/>
            <w:vAlign w:val="center"/>
          </w:tcPr>
          <w:p w14:paraId="216F2BDD">
            <w:pPr>
              <w:adjustRightInd w:val="0"/>
              <w:snapToGrid w:val="0"/>
              <w:spacing w:line="240" w:lineRule="auto"/>
              <w:jc w:val="center"/>
              <w:rPr>
                <w:color w:val="auto"/>
                <w:sz w:val="24"/>
                <w:szCs w:val="24"/>
              </w:rPr>
            </w:pPr>
            <w:r>
              <w:rPr>
                <w:color w:val="auto"/>
                <w:sz w:val="24"/>
                <w:szCs w:val="24"/>
              </w:rPr>
              <w:t>污染物项目</w:t>
            </w:r>
          </w:p>
        </w:tc>
        <w:tc>
          <w:tcPr>
            <w:tcW w:w="1185" w:type="dxa"/>
            <w:vAlign w:val="center"/>
          </w:tcPr>
          <w:p w14:paraId="40F292C7">
            <w:pPr>
              <w:adjustRightInd w:val="0"/>
              <w:snapToGrid w:val="0"/>
              <w:spacing w:line="240" w:lineRule="auto"/>
              <w:jc w:val="center"/>
              <w:rPr>
                <w:color w:val="auto"/>
                <w:sz w:val="24"/>
                <w:szCs w:val="24"/>
              </w:rPr>
            </w:pPr>
            <w:r>
              <w:rPr>
                <w:color w:val="auto"/>
                <w:sz w:val="24"/>
                <w:szCs w:val="24"/>
              </w:rPr>
              <w:t>环境保护措施</w:t>
            </w:r>
          </w:p>
        </w:tc>
        <w:tc>
          <w:tcPr>
            <w:tcW w:w="3994" w:type="dxa"/>
            <w:gridSpan w:val="3"/>
            <w:vAlign w:val="center"/>
          </w:tcPr>
          <w:p w14:paraId="34F5BFCC">
            <w:pPr>
              <w:adjustRightInd w:val="0"/>
              <w:snapToGrid w:val="0"/>
              <w:spacing w:line="240" w:lineRule="auto"/>
              <w:jc w:val="center"/>
              <w:rPr>
                <w:color w:val="auto"/>
                <w:sz w:val="24"/>
                <w:szCs w:val="24"/>
              </w:rPr>
            </w:pPr>
            <w:r>
              <w:rPr>
                <w:color w:val="auto"/>
                <w:sz w:val="24"/>
                <w:szCs w:val="24"/>
              </w:rPr>
              <w:t>执行标准</w:t>
            </w:r>
          </w:p>
        </w:tc>
      </w:tr>
      <w:tr w14:paraId="4B81A3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54" w:hRule="atLeast"/>
          <w:jc w:val="center"/>
        </w:trPr>
        <w:tc>
          <w:tcPr>
            <w:tcW w:w="1210" w:type="dxa"/>
            <w:vMerge w:val="restart"/>
            <w:vAlign w:val="center"/>
          </w:tcPr>
          <w:p w14:paraId="71110376">
            <w:pPr>
              <w:adjustRightInd w:val="0"/>
              <w:snapToGrid w:val="0"/>
              <w:spacing w:line="240" w:lineRule="auto"/>
              <w:jc w:val="center"/>
              <w:rPr>
                <w:color w:val="auto"/>
                <w:sz w:val="24"/>
                <w:szCs w:val="24"/>
              </w:rPr>
            </w:pPr>
            <w:r>
              <w:rPr>
                <w:color w:val="auto"/>
                <w:sz w:val="24"/>
                <w:szCs w:val="24"/>
              </w:rPr>
              <w:t>大气环境</w:t>
            </w:r>
          </w:p>
        </w:tc>
        <w:tc>
          <w:tcPr>
            <w:tcW w:w="1303" w:type="dxa"/>
            <w:vMerge w:val="restart"/>
            <w:vAlign w:val="center"/>
          </w:tcPr>
          <w:p w14:paraId="34BEC46C">
            <w:pPr>
              <w:adjustRightInd w:val="0"/>
              <w:snapToGrid w:val="0"/>
              <w:spacing w:line="240" w:lineRule="auto"/>
              <w:jc w:val="center"/>
              <w:rPr>
                <w:color w:val="auto"/>
                <w:sz w:val="24"/>
                <w:szCs w:val="24"/>
              </w:rPr>
            </w:pPr>
            <w:r>
              <w:rPr>
                <w:color w:val="auto"/>
                <w:sz w:val="24"/>
                <w:szCs w:val="24"/>
              </w:rPr>
              <w:t>FQ-1/废气排放口</w:t>
            </w:r>
          </w:p>
        </w:tc>
        <w:tc>
          <w:tcPr>
            <w:tcW w:w="1512" w:type="dxa"/>
            <w:vAlign w:val="center"/>
          </w:tcPr>
          <w:p w14:paraId="15823522">
            <w:pPr>
              <w:pStyle w:val="53"/>
              <w:widowControl/>
              <w:adjustRightInd w:val="0"/>
              <w:snapToGrid w:val="0"/>
              <w:spacing w:line="240" w:lineRule="auto"/>
              <w:rPr>
                <w:rFonts w:eastAsia="宋体"/>
                <w:b w:val="0"/>
                <w:bCs w:val="0"/>
                <w:color w:val="auto"/>
                <w:szCs w:val="24"/>
              </w:rPr>
            </w:pPr>
            <w:r>
              <w:rPr>
                <w:rFonts w:eastAsia="宋体"/>
                <w:b w:val="0"/>
                <w:bCs w:val="0"/>
                <w:color w:val="auto"/>
                <w:szCs w:val="24"/>
              </w:rPr>
              <w:t>非甲烷总烃</w:t>
            </w:r>
          </w:p>
        </w:tc>
        <w:tc>
          <w:tcPr>
            <w:tcW w:w="1185" w:type="dxa"/>
            <w:vMerge w:val="restart"/>
            <w:vAlign w:val="center"/>
          </w:tcPr>
          <w:p w14:paraId="3F3D2148">
            <w:pPr>
              <w:adjustRightInd w:val="0"/>
              <w:snapToGrid w:val="0"/>
              <w:spacing w:line="240" w:lineRule="auto"/>
              <w:jc w:val="center"/>
              <w:rPr>
                <w:color w:val="auto"/>
                <w:sz w:val="24"/>
                <w:szCs w:val="24"/>
              </w:rPr>
            </w:pPr>
            <w:r>
              <w:rPr>
                <w:color w:val="auto"/>
                <w:sz w:val="24"/>
                <w:szCs w:val="24"/>
              </w:rPr>
              <w:t>二级活性炭吸附装置</w:t>
            </w:r>
          </w:p>
        </w:tc>
        <w:tc>
          <w:tcPr>
            <w:tcW w:w="2195" w:type="dxa"/>
            <w:gridSpan w:val="2"/>
            <w:vAlign w:val="center"/>
          </w:tcPr>
          <w:p w14:paraId="2732AF62">
            <w:pPr>
              <w:wordWrap w:val="0"/>
              <w:adjustRightInd w:val="0"/>
              <w:snapToGrid w:val="0"/>
              <w:spacing w:line="240" w:lineRule="auto"/>
              <w:jc w:val="center"/>
              <w:rPr>
                <w:rFonts w:hint="default" w:eastAsia="宋体"/>
                <w:color w:val="auto"/>
                <w:sz w:val="24"/>
                <w:szCs w:val="24"/>
                <w:lang w:val="en-US" w:eastAsia="zh-CN"/>
              </w:rPr>
            </w:pPr>
            <w:r>
              <w:rPr>
                <w:color w:val="auto"/>
                <w:sz w:val="24"/>
                <w:szCs w:val="24"/>
              </w:rPr>
              <w:t>排放浓度≤60mg/m</w:t>
            </w:r>
            <w:r>
              <w:rPr>
                <w:color w:val="auto"/>
                <w:sz w:val="24"/>
                <w:szCs w:val="24"/>
                <w:vertAlign w:val="superscript"/>
              </w:rPr>
              <w:t>3</w:t>
            </w:r>
            <w:r>
              <w:rPr>
                <w:rFonts w:hint="eastAsia"/>
                <w:color w:val="auto"/>
                <w:sz w:val="24"/>
                <w:szCs w:val="24"/>
                <w:vertAlign w:val="baseline"/>
                <w:lang w:eastAsia="zh-CN"/>
              </w:rPr>
              <w:t>，</w:t>
            </w:r>
            <w:r>
              <w:rPr>
                <w:rFonts w:hint="eastAsia"/>
                <w:color w:val="auto"/>
                <w:sz w:val="24"/>
                <w:szCs w:val="24"/>
                <w:vertAlign w:val="baseline"/>
                <w:lang w:val="en-US" w:eastAsia="zh-CN"/>
              </w:rPr>
              <w:t>速率</w:t>
            </w:r>
            <w:r>
              <w:rPr>
                <w:color w:val="auto"/>
                <w:sz w:val="24"/>
                <w:szCs w:val="24"/>
              </w:rPr>
              <w:t>≤</w:t>
            </w:r>
            <w:r>
              <w:rPr>
                <w:rFonts w:hint="eastAsia"/>
                <w:color w:val="auto"/>
                <w:sz w:val="24"/>
                <w:szCs w:val="24"/>
                <w:lang w:val="en-US" w:eastAsia="zh-CN"/>
              </w:rPr>
              <w:t>3kg/h</w:t>
            </w:r>
          </w:p>
        </w:tc>
        <w:tc>
          <w:tcPr>
            <w:tcW w:w="1799" w:type="dxa"/>
            <w:vMerge w:val="restart"/>
            <w:vAlign w:val="center"/>
          </w:tcPr>
          <w:p w14:paraId="5E7F0F7A">
            <w:pPr>
              <w:wordWrap w:val="0"/>
              <w:adjustRightInd w:val="0"/>
              <w:snapToGrid w:val="0"/>
              <w:spacing w:line="240" w:lineRule="auto"/>
              <w:jc w:val="center"/>
              <w:rPr>
                <w:color w:val="auto"/>
                <w:sz w:val="24"/>
                <w:szCs w:val="24"/>
              </w:rPr>
            </w:pPr>
            <w:r>
              <w:rPr>
                <w:color w:val="auto"/>
                <w:sz w:val="24"/>
                <w:szCs w:val="24"/>
              </w:rPr>
              <w:t>《大气污染物综合排放标准》（DB32/4041-2021）表1标准</w:t>
            </w:r>
          </w:p>
        </w:tc>
      </w:tr>
      <w:tr w14:paraId="5365D0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87" w:hRule="atLeast"/>
          <w:jc w:val="center"/>
        </w:trPr>
        <w:tc>
          <w:tcPr>
            <w:tcW w:w="1210" w:type="dxa"/>
            <w:vMerge w:val="continue"/>
            <w:vAlign w:val="center"/>
          </w:tcPr>
          <w:p w14:paraId="475ABF83">
            <w:pPr>
              <w:wordWrap w:val="0"/>
              <w:adjustRightInd w:val="0"/>
              <w:snapToGrid w:val="0"/>
              <w:spacing w:line="240" w:lineRule="auto"/>
              <w:jc w:val="center"/>
              <w:rPr>
                <w:color w:val="auto"/>
                <w:sz w:val="24"/>
                <w:szCs w:val="24"/>
              </w:rPr>
            </w:pPr>
          </w:p>
        </w:tc>
        <w:tc>
          <w:tcPr>
            <w:tcW w:w="1303" w:type="dxa"/>
            <w:vMerge w:val="continue"/>
            <w:vAlign w:val="center"/>
          </w:tcPr>
          <w:p w14:paraId="7F71DEBA">
            <w:pPr>
              <w:wordWrap w:val="0"/>
              <w:adjustRightInd w:val="0"/>
              <w:snapToGrid w:val="0"/>
              <w:spacing w:line="240" w:lineRule="auto"/>
              <w:jc w:val="center"/>
              <w:rPr>
                <w:color w:val="auto"/>
                <w:sz w:val="24"/>
                <w:szCs w:val="24"/>
              </w:rPr>
            </w:pPr>
          </w:p>
        </w:tc>
        <w:tc>
          <w:tcPr>
            <w:tcW w:w="1512" w:type="dxa"/>
            <w:shd w:val="clear" w:color="auto" w:fill="auto"/>
            <w:vAlign w:val="center"/>
          </w:tcPr>
          <w:p w14:paraId="4E7A731D">
            <w:pPr>
              <w:wordWrap w:val="0"/>
              <w:adjustRightInd w:val="0"/>
              <w:snapToGrid w:val="0"/>
              <w:spacing w:line="240" w:lineRule="auto"/>
              <w:jc w:val="center"/>
              <w:rPr>
                <w:color w:val="auto"/>
                <w:sz w:val="24"/>
                <w:szCs w:val="24"/>
              </w:rPr>
            </w:pPr>
            <w:r>
              <w:rPr>
                <w:color w:val="auto"/>
                <w:sz w:val="24"/>
                <w:szCs w:val="24"/>
              </w:rPr>
              <w:t>臭气浓度</w:t>
            </w:r>
          </w:p>
        </w:tc>
        <w:tc>
          <w:tcPr>
            <w:tcW w:w="1185" w:type="dxa"/>
            <w:vMerge w:val="continue"/>
            <w:vAlign w:val="center"/>
          </w:tcPr>
          <w:p w14:paraId="4A9F0EF4">
            <w:pPr>
              <w:wordWrap w:val="0"/>
              <w:adjustRightInd w:val="0"/>
              <w:snapToGrid w:val="0"/>
              <w:spacing w:line="240" w:lineRule="auto"/>
              <w:jc w:val="center"/>
              <w:rPr>
                <w:color w:val="auto"/>
                <w:sz w:val="24"/>
                <w:szCs w:val="24"/>
              </w:rPr>
            </w:pPr>
          </w:p>
        </w:tc>
        <w:tc>
          <w:tcPr>
            <w:tcW w:w="2195" w:type="dxa"/>
            <w:gridSpan w:val="2"/>
            <w:vAlign w:val="center"/>
          </w:tcPr>
          <w:p w14:paraId="530D844D">
            <w:pPr>
              <w:pStyle w:val="41"/>
              <w:rPr>
                <w:color w:val="auto"/>
                <w:sz w:val="24"/>
                <w:szCs w:val="24"/>
              </w:rPr>
            </w:pPr>
            <w:r>
              <w:rPr>
                <w:color w:val="auto"/>
                <w:sz w:val="24"/>
                <w:szCs w:val="24"/>
              </w:rPr>
              <w:t>排放浓度≤2000</w:t>
            </w:r>
          </w:p>
          <w:p w14:paraId="489959C2">
            <w:pPr>
              <w:wordWrap w:val="0"/>
              <w:adjustRightInd w:val="0"/>
              <w:snapToGrid w:val="0"/>
              <w:spacing w:line="240" w:lineRule="auto"/>
              <w:jc w:val="center"/>
              <w:rPr>
                <w:color w:val="auto"/>
                <w:sz w:val="24"/>
                <w:szCs w:val="24"/>
              </w:rPr>
            </w:pPr>
            <w:r>
              <w:rPr>
                <w:color w:val="auto"/>
                <w:sz w:val="24"/>
                <w:szCs w:val="24"/>
              </w:rPr>
              <w:t>（无量纲）</w:t>
            </w:r>
          </w:p>
        </w:tc>
        <w:tc>
          <w:tcPr>
            <w:tcW w:w="1799" w:type="dxa"/>
            <w:vMerge w:val="continue"/>
            <w:vAlign w:val="center"/>
          </w:tcPr>
          <w:p w14:paraId="3E1554DF">
            <w:pPr>
              <w:wordWrap w:val="0"/>
              <w:adjustRightInd w:val="0"/>
              <w:snapToGrid w:val="0"/>
              <w:spacing w:line="240" w:lineRule="auto"/>
              <w:jc w:val="center"/>
              <w:rPr>
                <w:color w:val="auto"/>
                <w:sz w:val="24"/>
                <w:szCs w:val="24"/>
              </w:rPr>
            </w:pPr>
          </w:p>
        </w:tc>
      </w:tr>
      <w:tr w14:paraId="009CA9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44" w:hRule="atLeast"/>
          <w:jc w:val="center"/>
        </w:trPr>
        <w:tc>
          <w:tcPr>
            <w:tcW w:w="1210" w:type="dxa"/>
            <w:vMerge w:val="continue"/>
            <w:vAlign w:val="center"/>
          </w:tcPr>
          <w:p w14:paraId="03F697F0">
            <w:pPr>
              <w:adjustRightInd w:val="0"/>
              <w:snapToGrid w:val="0"/>
              <w:spacing w:line="240" w:lineRule="auto"/>
              <w:jc w:val="center"/>
              <w:rPr>
                <w:color w:val="auto"/>
                <w:sz w:val="24"/>
                <w:szCs w:val="24"/>
              </w:rPr>
            </w:pPr>
          </w:p>
        </w:tc>
        <w:tc>
          <w:tcPr>
            <w:tcW w:w="1303" w:type="dxa"/>
            <w:vMerge w:val="restart"/>
            <w:vAlign w:val="center"/>
          </w:tcPr>
          <w:p w14:paraId="262F8F1B">
            <w:pPr>
              <w:wordWrap w:val="0"/>
              <w:adjustRightInd w:val="0"/>
              <w:snapToGrid w:val="0"/>
              <w:spacing w:line="240" w:lineRule="auto"/>
              <w:jc w:val="center"/>
              <w:rPr>
                <w:color w:val="auto"/>
                <w:sz w:val="24"/>
                <w:szCs w:val="24"/>
              </w:rPr>
            </w:pPr>
            <w:r>
              <w:rPr>
                <w:color w:val="auto"/>
                <w:sz w:val="24"/>
                <w:szCs w:val="24"/>
              </w:rPr>
              <w:t>无组织废气</w:t>
            </w:r>
          </w:p>
        </w:tc>
        <w:tc>
          <w:tcPr>
            <w:tcW w:w="1512" w:type="dxa"/>
            <w:vAlign w:val="center"/>
          </w:tcPr>
          <w:p w14:paraId="0991CC23">
            <w:pPr>
              <w:pStyle w:val="41"/>
              <w:rPr>
                <w:color w:val="auto"/>
                <w:sz w:val="24"/>
                <w:szCs w:val="24"/>
              </w:rPr>
            </w:pPr>
            <w:r>
              <w:rPr>
                <w:color w:val="auto"/>
                <w:sz w:val="24"/>
                <w:szCs w:val="24"/>
              </w:rPr>
              <w:t>非甲烷总烃</w:t>
            </w:r>
          </w:p>
        </w:tc>
        <w:tc>
          <w:tcPr>
            <w:tcW w:w="1185" w:type="dxa"/>
            <w:vMerge w:val="restart"/>
            <w:vAlign w:val="center"/>
          </w:tcPr>
          <w:p w14:paraId="39511F93">
            <w:pPr>
              <w:adjustRightInd w:val="0"/>
              <w:snapToGrid w:val="0"/>
              <w:spacing w:line="240" w:lineRule="auto"/>
              <w:jc w:val="center"/>
              <w:rPr>
                <w:color w:val="auto"/>
                <w:sz w:val="24"/>
                <w:szCs w:val="24"/>
              </w:rPr>
            </w:pPr>
            <w:r>
              <w:rPr>
                <w:color w:val="auto"/>
                <w:sz w:val="24"/>
                <w:szCs w:val="24"/>
              </w:rPr>
              <w:t>加强车间通风，便于扩散</w:t>
            </w:r>
          </w:p>
        </w:tc>
        <w:tc>
          <w:tcPr>
            <w:tcW w:w="2195" w:type="dxa"/>
            <w:gridSpan w:val="2"/>
            <w:vAlign w:val="center"/>
          </w:tcPr>
          <w:p w14:paraId="78352177">
            <w:pPr>
              <w:pStyle w:val="53"/>
              <w:widowControl/>
              <w:adjustRightInd w:val="0"/>
              <w:snapToGrid w:val="0"/>
              <w:spacing w:line="240" w:lineRule="auto"/>
              <w:rPr>
                <w:rFonts w:eastAsia="宋体"/>
                <w:b w:val="0"/>
                <w:bCs w:val="0"/>
                <w:color w:val="auto"/>
                <w:szCs w:val="24"/>
              </w:rPr>
            </w:pPr>
            <w:r>
              <w:rPr>
                <w:rFonts w:eastAsia="宋体"/>
                <w:b w:val="0"/>
                <w:bCs w:val="0"/>
                <w:color w:val="auto"/>
                <w:szCs w:val="24"/>
              </w:rPr>
              <w:t>无组织排放监控</w:t>
            </w:r>
          </w:p>
          <w:p w14:paraId="2951D4FB">
            <w:pPr>
              <w:pStyle w:val="53"/>
              <w:widowControl/>
              <w:adjustRightInd w:val="0"/>
              <w:snapToGrid w:val="0"/>
              <w:spacing w:line="240" w:lineRule="auto"/>
              <w:rPr>
                <w:rFonts w:eastAsia="宋体"/>
                <w:color w:val="auto"/>
                <w:szCs w:val="24"/>
              </w:rPr>
            </w:pPr>
            <w:r>
              <w:rPr>
                <w:rFonts w:eastAsia="宋体"/>
                <w:b w:val="0"/>
                <w:bCs w:val="0"/>
                <w:color w:val="auto"/>
                <w:szCs w:val="24"/>
              </w:rPr>
              <w:t>浓度限值≤4mg/m</w:t>
            </w:r>
            <w:r>
              <w:rPr>
                <w:rFonts w:eastAsia="宋体"/>
                <w:b w:val="0"/>
                <w:bCs w:val="0"/>
                <w:color w:val="auto"/>
                <w:szCs w:val="24"/>
                <w:vertAlign w:val="superscript"/>
              </w:rPr>
              <w:t>3</w:t>
            </w:r>
          </w:p>
        </w:tc>
        <w:tc>
          <w:tcPr>
            <w:tcW w:w="1799" w:type="dxa"/>
            <w:vAlign w:val="center"/>
          </w:tcPr>
          <w:p w14:paraId="436479AD">
            <w:pPr>
              <w:wordWrap w:val="0"/>
              <w:adjustRightInd w:val="0"/>
              <w:snapToGrid w:val="0"/>
              <w:spacing w:line="240" w:lineRule="auto"/>
              <w:jc w:val="center"/>
              <w:rPr>
                <w:color w:val="auto"/>
                <w:sz w:val="24"/>
                <w:szCs w:val="24"/>
              </w:rPr>
            </w:pPr>
            <w:r>
              <w:rPr>
                <w:color w:val="auto"/>
                <w:sz w:val="24"/>
                <w:szCs w:val="24"/>
              </w:rPr>
              <w:t>《大气污染物综合排放标准》（DB32/4041-2021）表3标准</w:t>
            </w:r>
          </w:p>
        </w:tc>
      </w:tr>
      <w:tr w14:paraId="06D8B4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44" w:hRule="atLeast"/>
          <w:jc w:val="center"/>
        </w:trPr>
        <w:tc>
          <w:tcPr>
            <w:tcW w:w="1210" w:type="dxa"/>
            <w:vMerge w:val="continue"/>
            <w:vAlign w:val="center"/>
          </w:tcPr>
          <w:p w14:paraId="1513208E">
            <w:pPr>
              <w:adjustRightInd w:val="0"/>
              <w:snapToGrid w:val="0"/>
              <w:spacing w:line="240" w:lineRule="auto"/>
              <w:jc w:val="center"/>
              <w:rPr>
                <w:color w:val="auto"/>
                <w:sz w:val="24"/>
                <w:szCs w:val="24"/>
              </w:rPr>
            </w:pPr>
          </w:p>
        </w:tc>
        <w:tc>
          <w:tcPr>
            <w:tcW w:w="1303" w:type="dxa"/>
            <w:vMerge w:val="continue"/>
            <w:vAlign w:val="center"/>
          </w:tcPr>
          <w:p w14:paraId="19D4AF12">
            <w:pPr>
              <w:wordWrap w:val="0"/>
              <w:adjustRightInd w:val="0"/>
              <w:snapToGrid w:val="0"/>
              <w:spacing w:line="240" w:lineRule="auto"/>
              <w:jc w:val="center"/>
              <w:rPr>
                <w:color w:val="auto"/>
                <w:sz w:val="24"/>
                <w:szCs w:val="24"/>
              </w:rPr>
            </w:pPr>
          </w:p>
        </w:tc>
        <w:tc>
          <w:tcPr>
            <w:tcW w:w="1512" w:type="dxa"/>
            <w:vAlign w:val="center"/>
          </w:tcPr>
          <w:p w14:paraId="0F4D0F76">
            <w:pPr>
              <w:pStyle w:val="41"/>
              <w:rPr>
                <w:color w:val="auto"/>
                <w:sz w:val="24"/>
                <w:szCs w:val="24"/>
              </w:rPr>
            </w:pPr>
            <w:r>
              <w:rPr>
                <w:color w:val="auto"/>
                <w:sz w:val="24"/>
                <w:szCs w:val="24"/>
              </w:rPr>
              <w:t>臭气浓度</w:t>
            </w:r>
          </w:p>
        </w:tc>
        <w:tc>
          <w:tcPr>
            <w:tcW w:w="1185" w:type="dxa"/>
            <w:vMerge w:val="continue"/>
            <w:vAlign w:val="center"/>
          </w:tcPr>
          <w:p w14:paraId="1A56C965">
            <w:pPr>
              <w:adjustRightInd w:val="0"/>
              <w:snapToGrid w:val="0"/>
              <w:spacing w:line="240" w:lineRule="auto"/>
              <w:jc w:val="center"/>
              <w:rPr>
                <w:color w:val="auto"/>
                <w:sz w:val="24"/>
                <w:szCs w:val="24"/>
              </w:rPr>
            </w:pPr>
          </w:p>
        </w:tc>
        <w:tc>
          <w:tcPr>
            <w:tcW w:w="2195" w:type="dxa"/>
            <w:gridSpan w:val="2"/>
            <w:vAlign w:val="center"/>
          </w:tcPr>
          <w:p w14:paraId="0E78E745">
            <w:pPr>
              <w:pStyle w:val="53"/>
              <w:widowControl/>
              <w:adjustRightInd w:val="0"/>
              <w:snapToGrid w:val="0"/>
              <w:spacing w:line="240" w:lineRule="auto"/>
              <w:rPr>
                <w:rFonts w:eastAsia="宋体"/>
                <w:b w:val="0"/>
                <w:bCs w:val="0"/>
                <w:color w:val="auto"/>
                <w:szCs w:val="24"/>
              </w:rPr>
            </w:pPr>
            <w:r>
              <w:rPr>
                <w:rFonts w:eastAsia="宋体"/>
                <w:b w:val="0"/>
                <w:bCs w:val="0"/>
                <w:color w:val="auto"/>
                <w:szCs w:val="24"/>
              </w:rPr>
              <w:t>无组织排放监控</w:t>
            </w:r>
          </w:p>
          <w:p w14:paraId="4F4D0D68">
            <w:pPr>
              <w:wordWrap w:val="0"/>
              <w:adjustRightInd w:val="0"/>
              <w:snapToGrid w:val="0"/>
              <w:spacing w:line="240" w:lineRule="auto"/>
              <w:jc w:val="center"/>
              <w:rPr>
                <w:color w:val="auto"/>
                <w:sz w:val="24"/>
                <w:szCs w:val="24"/>
              </w:rPr>
            </w:pPr>
            <w:r>
              <w:rPr>
                <w:color w:val="auto"/>
                <w:sz w:val="24"/>
                <w:szCs w:val="24"/>
              </w:rPr>
              <w:t>浓度限值≤20（无量纲）</w:t>
            </w:r>
          </w:p>
        </w:tc>
        <w:tc>
          <w:tcPr>
            <w:tcW w:w="1799" w:type="dxa"/>
            <w:vAlign w:val="center"/>
          </w:tcPr>
          <w:p w14:paraId="5A082DFA">
            <w:pPr>
              <w:wordWrap w:val="0"/>
              <w:adjustRightInd w:val="0"/>
              <w:snapToGrid w:val="0"/>
              <w:spacing w:line="240" w:lineRule="auto"/>
              <w:jc w:val="center"/>
              <w:rPr>
                <w:color w:val="auto"/>
                <w:kern w:val="0"/>
                <w:sz w:val="24"/>
                <w:szCs w:val="24"/>
              </w:rPr>
            </w:pPr>
            <w:r>
              <w:rPr>
                <w:color w:val="auto"/>
                <w:sz w:val="24"/>
                <w:szCs w:val="24"/>
              </w:rPr>
              <w:t>臭气浓度执行《恶臭污染物排放标准》（GB14554-93）中的表1标准</w:t>
            </w:r>
          </w:p>
        </w:tc>
      </w:tr>
      <w:tr w14:paraId="03365D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210" w:type="dxa"/>
            <w:vMerge w:val="continue"/>
            <w:vAlign w:val="center"/>
          </w:tcPr>
          <w:p w14:paraId="4286D7D5">
            <w:pPr>
              <w:adjustRightInd w:val="0"/>
              <w:snapToGrid w:val="0"/>
              <w:spacing w:line="240" w:lineRule="auto"/>
              <w:jc w:val="center"/>
              <w:rPr>
                <w:color w:val="auto"/>
                <w:sz w:val="24"/>
                <w:szCs w:val="24"/>
              </w:rPr>
            </w:pPr>
          </w:p>
        </w:tc>
        <w:tc>
          <w:tcPr>
            <w:tcW w:w="1303" w:type="dxa"/>
            <w:vMerge w:val="restart"/>
            <w:vAlign w:val="center"/>
          </w:tcPr>
          <w:p w14:paraId="4A12DA26">
            <w:pPr>
              <w:wordWrap w:val="0"/>
              <w:adjustRightInd w:val="0"/>
              <w:snapToGrid w:val="0"/>
              <w:spacing w:line="240" w:lineRule="auto"/>
              <w:jc w:val="center"/>
              <w:rPr>
                <w:color w:val="auto"/>
                <w:sz w:val="24"/>
                <w:szCs w:val="24"/>
              </w:rPr>
            </w:pPr>
            <w:r>
              <w:rPr>
                <w:color w:val="auto"/>
                <w:sz w:val="24"/>
                <w:szCs w:val="24"/>
              </w:rPr>
              <w:t>厂区废气</w:t>
            </w:r>
          </w:p>
        </w:tc>
        <w:tc>
          <w:tcPr>
            <w:tcW w:w="1512" w:type="dxa"/>
            <w:vMerge w:val="restart"/>
            <w:vAlign w:val="center"/>
          </w:tcPr>
          <w:p w14:paraId="5047C07E">
            <w:pPr>
              <w:spacing w:line="240" w:lineRule="auto"/>
              <w:ind w:left="-63" w:leftChars="-30" w:right="-63" w:rightChars="-30"/>
              <w:jc w:val="center"/>
              <w:rPr>
                <w:color w:val="auto"/>
                <w:sz w:val="24"/>
                <w:szCs w:val="24"/>
              </w:rPr>
            </w:pPr>
            <w:r>
              <w:rPr>
                <w:color w:val="auto"/>
                <w:sz w:val="24"/>
                <w:szCs w:val="24"/>
              </w:rPr>
              <w:t>非甲烷总烃</w:t>
            </w:r>
          </w:p>
        </w:tc>
        <w:tc>
          <w:tcPr>
            <w:tcW w:w="1185" w:type="dxa"/>
            <w:vMerge w:val="restart"/>
            <w:vAlign w:val="center"/>
          </w:tcPr>
          <w:p w14:paraId="6BB06FB2">
            <w:pPr>
              <w:adjustRightInd w:val="0"/>
              <w:snapToGrid w:val="0"/>
              <w:spacing w:line="240" w:lineRule="auto"/>
              <w:jc w:val="center"/>
              <w:rPr>
                <w:color w:val="auto"/>
                <w:sz w:val="24"/>
                <w:szCs w:val="24"/>
              </w:rPr>
            </w:pPr>
            <w:r>
              <w:rPr>
                <w:color w:val="auto"/>
                <w:sz w:val="24"/>
                <w:szCs w:val="24"/>
              </w:rPr>
              <w:t>/</w:t>
            </w:r>
          </w:p>
        </w:tc>
        <w:tc>
          <w:tcPr>
            <w:tcW w:w="2195" w:type="dxa"/>
            <w:gridSpan w:val="2"/>
            <w:vAlign w:val="center"/>
          </w:tcPr>
          <w:p w14:paraId="6AB9FC44">
            <w:pPr>
              <w:wordWrap w:val="0"/>
              <w:adjustRightInd w:val="0"/>
              <w:snapToGrid w:val="0"/>
              <w:spacing w:line="240" w:lineRule="auto"/>
              <w:jc w:val="center"/>
              <w:rPr>
                <w:color w:val="auto"/>
                <w:sz w:val="24"/>
                <w:szCs w:val="24"/>
              </w:rPr>
            </w:pPr>
            <w:r>
              <w:rPr>
                <w:bCs/>
                <w:color w:val="auto"/>
                <w:sz w:val="24"/>
                <w:szCs w:val="24"/>
              </w:rPr>
              <w:t>监控点处1h平均浓度值</w:t>
            </w:r>
            <w:r>
              <w:rPr>
                <w:color w:val="auto"/>
                <w:sz w:val="24"/>
                <w:szCs w:val="24"/>
              </w:rPr>
              <w:t>≤6mg/m</w:t>
            </w:r>
            <w:r>
              <w:rPr>
                <w:color w:val="auto"/>
                <w:sz w:val="24"/>
                <w:szCs w:val="24"/>
                <w:vertAlign w:val="superscript"/>
              </w:rPr>
              <w:t>3</w:t>
            </w:r>
          </w:p>
        </w:tc>
        <w:tc>
          <w:tcPr>
            <w:tcW w:w="1799" w:type="dxa"/>
            <w:vMerge w:val="restart"/>
            <w:vAlign w:val="center"/>
          </w:tcPr>
          <w:p w14:paraId="7C0FBF99">
            <w:pPr>
              <w:wordWrap w:val="0"/>
              <w:adjustRightInd w:val="0"/>
              <w:snapToGrid w:val="0"/>
              <w:spacing w:line="240" w:lineRule="auto"/>
              <w:jc w:val="center"/>
              <w:rPr>
                <w:color w:val="auto"/>
                <w:sz w:val="24"/>
                <w:szCs w:val="24"/>
              </w:rPr>
            </w:pPr>
            <w:r>
              <w:rPr>
                <w:color w:val="auto"/>
                <w:sz w:val="24"/>
                <w:szCs w:val="24"/>
              </w:rPr>
              <w:t>江苏省地方标准《大气污染物综合排放标准》（DB32/4041-2021）表2标准</w:t>
            </w:r>
          </w:p>
        </w:tc>
      </w:tr>
      <w:tr w14:paraId="561869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1210" w:type="dxa"/>
            <w:vMerge w:val="continue"/>
            <w:vAlign w:val="center"/>
          </w:tcPr>
          <w:p w14:paraId="57A60B3E">
            <w:pPr>
              <w:adjustRightInd w:val="0"/>
              <w:snapToGrid w:val="0"/>
              <w:spacing w:line="240" w:lineRule="auto"/>
              <w:jc w:val="center"/>
              <w:rPr>
                <w:color w:val="auto"/>
                <w:sz w:val="24"/>
                <w:szCs w:val="24"/>
              </w:rPr>
            </w:pPr>
          </w:p>
        </w:tc>
        <w:tc>
          <w:tcPr>
            <w:tcW w:w="1303" w:type="dxa"/>
            <w:vMerge w:val="continue"/>
            <w:vAlign w:val="center"/>
          </w:tcPr>
          <w:p w14:paraId="180A332D">
            <w:pPr>
              <w:wordWrap w:val="0"/>
              <w:adjustRightInd w:val="0"/>
              <w:snapToGrid w:val="0"/>
              <w:spacing w:line="240" w:lineRule="auto"/>
              <w:jc w:val="center"/>
              <w:rPr>
                <w:color w:val="auto"/>
                <w:sz w:val="24"/>
                <w:szCs w:val="24"/>
              </w:rPr>
            </w:pPr>
          </w:p>
        </w:tc>
        <w:tc>
          <w:tcPr>
            <w:tcW w:w="1512" w:type="dxa"/>
            <w:vMerge w:val="continue"/>
            <w:vAlign w:val="center"/>
          </w:tcPr>
          <w:p w14:paraId="5A5A142C">
            <w:pPr>
              <w:spacing w:line="240" w:lineRule="auto"/>
              <w:ind w:left="-63" w:leftChars="-30" w:right="-63" w:rightChars="-30"/>
              <w:jc w:val="center"/>
              <w:rPr>
                <w:color w:val="auto"/>
                <w:sz w:val="24"/>
                <w:szCs w:val="24"/>
              </w:rPr>
            </w:pPr>
          </w:p>
        </w:tc>
        <w:tc>
          <w:tcPr>
            <w:tcW w:w="1185" w:type="dxa"/>
            <w:vMerge w:val="continue"/>
            <w:vAlign w:val="center"/>
          </w:tcPr>
          <w:p w14:paraId="4CC4B91F">
            <w:pPr>
              <w:adjustRightInd w:val="0"/>
              <w:snapToGrid w:val="0"/>
              <w:spacing w:line="240" w:lineRule="auto"/>
              <w:jc w:val="center"/>
              <w:rPr>
                <w:color w:val="auto"/>
                <w:sz w:val="24"/>
                <w:szCs w:val="24"/>
              </w:rPr>
            </w:pPr>
          </w:p>
        </w:tc>
        <w:tc>
          <w:tcPr>
            <w:tcW w:w="2195" w:type="dxa"/>
            <w:gridSpan w:val="2"/>
            <w:vAlign w:val="center"/>
          </w:tcPr>
          <w:p w14:paraId="31FEABA3">
            <w:pPr>
              <w:wordWrap w:val="0"/>
              <w:adjustRightInd w:val="0"/>
              <w:snapToGrid w:val="0"/>
              <w:spacing w:line="240" w:lineRule="auto"/>
              <w:jc w:val="center"/>
              <w:rPr>
                <w:bCs/>
                <w:color w:val="auto"/>
                <w:sz w:val="24"/>
                <w:szCs w:val="24"/>
              </w:rPr>
            </w:pPr>
            <w:r>
              <w:rPr>
                <w:bCs/>
                <w:color w:val="auto"/>
                <w:sz w:val="24"/>
                <w:szCs w:val="24"/>
              </w:rPr>
              <w:t>监控点处任意一次浓度值</w:t>
            </w:r>
            <w:r>
              <w:rPr>
                <w:color w:val="auto"/>
                <w:sz w:val="24"/>
                <w:szCs w:val="24"/>
              </w:rPr>
              <w:t>≤20mg/m</w:t>
            </w:r>
            <w:r>
              <w:rPr>
                <w:color w:val="auto"/>
                <w:sz w:val="24"/>
                <w:szCs w:val="24"/>
                <w:vertAlign w:val="superscript"/>
              </w:rPr>
              <w:t>3</w:t>
            </w:r>
          </w:p>
        </w:tc>
        <w:tc>
          <w:tcPr>
            <w:tcW w:w="1799" w:type="dxa"/>
            <w:vMerge w:val="continue"/>
            <w:vAlign w:val="center"/>
          </w:tcPr>
          <w:p w14:paraId="120B49BC">
            <w:pPr>
              <w:wordWrap w:val="0"/>
              <w:adjustRightInd w:val="0"/>
              <w:snapToGrid w:val="0"/>
              <w:spacing w:line="240" w:lineRule="auto"/>
              <w:jc w:val="center"/>
              <w:rPr>
                <w:color w:val="auto"/>
                <w:sz w:val="24"/>
                <w:szCs w:val="24"/>
              </w:rPr>
            </w:pPr>
          </w:p>
        </w:tc>
      </w:tr>
      <w:tr w14:paraId="183EC2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10" w:type="dxa"/>
            <w:vMerge w:val="restart"/>
            <w:vAlign w:val="center"/>
          </w:tcPr>
          <w:p w14:paraId="0199A933">
            <w:pPr>
              <w:adjustRightInd w:val="0"/>
              <w:snapToGrid w:val="0"/>
              <w:spacing w:line="240" w:lineRule="auto"/>
              <w:jc w:val="center"/>
              <w:rPr>
                <w:color w:val="auto"/>
                <w:sz w:val="24"/>
                <w:szCs w:val="24"/>
              </w:rPr>
            </w:pPr>
            <w:r>
              <w:rPr>
                <w:color w:val="auto"/>
                <w:sz w:val="24"/>
                <w:szCs w:val="24"/>
              </w:rPr>
              <w:t>地表水环境</w:t>
            </w:r>
          </w:p>
        </w:tc>
        <w:tc>
          <w:tcPr>
            <w:tcW w:w="1303" w:type="dxa"/>
            <w:vMerge w:val="restart"/>
            <w:vAlign w:val="center"/>
          </w:tcPr>
          <w:p w14:paraId="7EFCBD39">
            <w:pPr>
              <w:adjustRightInd w:val="0"/>
              <w:snapToGrid w:val="0"/>
              <w:spacing w:line="240" w:lineRule="auto"/>
              <w:jc w:val="center"/>
              <w:rPr>
                <w:color w:val="auto"/>
                <w:sz w:val="24"/>
                <w:szCs w:val="24"/>
              </w:rPr>
            </w:pPr>
            <w:r>
              <w:rPr>
                <w:color w:val="auto"/>
                <w:sz w:val="24"/>
                <w:szCs w:val="24"/>
              </w:rPr>
              <w:t>WS001</w:t>
            </w:r>
          </w:p>
        </w:tc>
        <w:tc>
          <w:tcPr>
            <w:tcW w:w="1512" w:type="dxa"/>
            <w:vAlign w:val="center"/>
          </w:tcPr>
          <w:p w14:paraId="40F440A6">
            <w:pPr>
              <w:autoSpaceDE w:val="0"/>
              <w:autoSpaceDN w:val="0"/>
              <w:adjustRightInd w:val="0"/>
              <w:snapToGrid w:val="0"/>
              <w:spacing w:line="240" w:lineRule="auto"/>
              <w:jc w:val="center"/>
              <w:rPr>
                <w:color w:val="auto"/>
                <w:kern w:val="0"/>
                <w:sz w:val="24"/>
                <w:szCs w:val="24"/>
              </w:rPr>
            </w:pPr>
            <w:r>
              <w:rPr>
                <w:color w:val="auto"/>
                <w:kern w:val="0"/>
                <w:sz w:val="24"/>
                <w:szCs w:val="24"/>
              </w:rPr>
              <w:t>pH</w:t>
            </w:r>
          </w:p>
        </w:tc>
        <w:tc>
          <w:tcPr>
            <w:tcW w:w="1185" w:type="dxa"/>
            <w:vMerge w:val="restart"/>
            <w:vAlign w:val="center"/>
          </w:tcPr>
          <w:p w14:paraId="7560F8F1">
            <w:pPr>
              <w:adjustRightInd w:val="0"/>
              <w:snapToGrid w:val="0"/>
              <w:spacing w:line="240" w:lineRule="auto"/>
              <w:jc w:val="center"/>
              <w:rPr>
                <w:rFonts w:hint="default" w:eastAsia="宋体"/>
                <w:color w:val="auto"/>
                <w:sz w:val="24"/>
                <w:szCs w:val="24"/>
                <w:lang w:val="en-US" w:eastAsia="zh-CN"/>
              </w:rPr>
            </w:pPr>
            <w:r>
              <w:rPr>
                <w:color w:val="auto"/>
                <w:sz w:val="24"/>
                <w:szCs w:val="24"/>
              </w:rPr>
              <w:t>经化粪池处理后，</w:t>
            </w:r>
            <w:r>
              <w:rPr>
                <w:rFonts w:hint="eastAsia"/>
                <w:color w:val="auto"/>
                <w:sz w:val="24"/>
                <w:szCs w:val="24"/>
                <w:lang w:val="en-US" w:eastAsia="zh-CN"/>
              </w:rPr>
              <w:t>近期</w:t>
            </w:r>
            <w:r>
              <w:rPr>
                <w:color w:val="auto"/>
                <w:sz w:val="24"/>
                <w:szCs w:val="24"/>
              </w:rPr>
              <w:t>接管至江阴市山泉</w:t>
            </w:r>
            <w:r>
              <w:rPr>
                <w:rFonts w:ascii="Times New Roman" w:hAnsi="Times New Roman" w:eastAsia="宋体" w:cs="Times New Roman"/>
                <w:color w:val="auto"/>
                <w:sz w:val="24"/>
                <w:szCs w:val="24"/>
              </w:rPr>
              <w:t>污水处理厂集中处理</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远期远期接入江阴市兴泉环境工程有限公司</w:t>
            </w:r>
          </w:p>
        </w:tc>
        <w:tc>
          <w:tcPr>
            <w:tcW w:w="1097" w:type="dxa"/>
            <w:vAlign w:val="center"/>
          </w:tcPr>
          <w:p w14:paraId="243B312F">
            <w:pPr>
              <w:pStyle w:val="52"/>
              <w:adjustRightInd w:val="0"/>
              <w:snapToGrid w:val="0"/>
              <w:spacing w:line="240" w:lineRule="auto"/>
              <w:ind w:firstLine="0" w:firstLineChars="0"/>
              <w:jc w:val="center"/>
              <w:rPr>
                <w:bCs/>
                <w:color w:val="auto"/>
                <w:szCs w:val="24"/>
              </w:rPr>
            </w:pPr>
            <w:r>
              <w:rPr>
                <w:bCs/>
                <w:color w:val="auto"/>
                <w:szCs w:val="24"/>
              </w:rPr>
              <w:t>6-9</w:t>
            </w:r>
          </w:p>
        </w:tc>
        <w:tc>
          <w:tcPr>
            <w:tcW w:w="1098" w:type="dxa"/>
            <w:shd w:val="clear" w:color="auto" w:fill="auto"/>
            <w:vAlign w:val="center"/>
          </w:tcPr>
          <w:p w14:paraId="5047DDF6">
            <w:pPr>
              <w:pStyle w:val="41"/>
              <w:rPr>
                <w:rFonts w:ascii="Times New Roman" w:hAnsi="Times New Roman" w:eastAsia="宋体" w:cs="Times New Roman"/>
                <w:color w:val="auto"/>
                <w:kern w:val="2"/>
                <w:sz w:val="21"/>
                <w:szCs w:val="21"/>
                <w:lang w:val="en-US" w:eastAsia="zh-CN" w:bidi="ar-SA"/>
              </w:rPr>
            </w:pPr>
            <w:r>
              <w:rPr>
                <w:rFonts w:hint="eastAsia"/>
                <w:color w:val="auto"/>
              </w:rPr>
              <w:t>6</w:t>
            </w:r>
            <w:r>
              <w:rPr>
                <w:color w:val="auto"/>
              </w:rPr>
              <w:t>~9</w:t>
            </w:r>
          </w:p>
        </w:tc>
        <w:tc>
          <w:tcPr>
            <w:tcW w:w="1799" w:type="dxa"/>
            <w:vMerge w:val="restart"/>
            <w:vAlign w:val="center"/>
          </w:tcPr>
          <w:p w14:paraId="0DDAA6D4">
            <w:pPr>
              <w:spacing w:line="240" w:lineRule="auto"/>
              <w:jc w:val="center"/>
              <w:rPr>
                <w:rFonts w:hint="default" w:eastAsia="宋体"/>
                <w:color w:val="auto"/>
                <w:sz w:val="24"/>
                <w:szCs w:val="24"/>
                <w:lang w:val="en-US" w:eastAsia="zh-CN"/>
              </w:rPr>
            </w:pPr>
            <w:r>
              <w:rPr>
                <w:rFonts w:hint="eastAsia"/>
                <w:color w:val="auto"/>
                <w:sz w:val="24"/>
                <w:szCs w:val="24"/>
                <w:lang w:val="en-US" w:eastAsia="zh-CN"/>
              </w:rPr>
              <w:t>近期执行</w:t>
            </w:r>
            <w:r>
              <w:rPr>
                <w:color w:val="auto"/>
                <w:sz w:val="24"/>
                <w:szCs w:val="24"/>
              </w:rPr>
              <w:t>《太湖地区城镇污水处理厂及重点工业行业主要水污染物排放限值》（DB32/1072-2018）表2标准和《城镇污水处理厂污染物排放标准》（GB18918-2002）表1一级A标准</w:t>
            </w:r>
            <w:r>
              <w:rPr>
                <w:rFonts w:hint="eastAsia"/>
                <w:color w:val="auto"/>
                <w:sz w:val="24"/>
                <w:szCs w:val="24"/>
                <w:lang w:eastAsia="zh-CN"/>
              </w:rPr>
              <w:t>，</w:t>
            </w:r>
            <w:r>
              <w:rPr>
                <w:rFonts w:hint="eastAsia" w:ascii="Times New Roman" w:hAnsi="Times New Roman" w:eastAsia="宋体" w:cs="Times New Roman"/>
                <w:color w:val="auto"/>
                <w:sz w:val="24"/>
                <w:szCs w:val="24"/>
                <w:lang w:val="en-US" w:eastAsia="zh-CN"/>
              </w:rPr>
              <w:t>远期执行城镇污水处理厂污染物排</w:t>
            </w:r>
            <w:r>
              <w:rPr>
                <w:rFonts w:hint="eastAsia"/>
                <w:color w:val="auto"/>
                <w:sz w:val="24"/>
                <w:szCs w:val="24"/>
                <w:lang w:val="en-US" w:eastAsia="zh-CN"/>
              </w:rPr>
              <w:t>放标准》（DB32/4440-2022）表1中C标准</w:t>
            </w:r>
          </w:p>
        </w:tc>
      </w:tr>
      <w:tr w14:paraId="45573E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10" w:type="dxa"/>
            <w:vMerge w:val="continue"/>
            <w:vAlign w:val="center"/>
          </w:tcPr>
          <w:p w14:paraId="3AC4C7C8">
            <w:pPr>
              <w:adjustRightInd w:val="0"/>
              <w:snapToGrid w:val="0"/>
              <w:spacing w:line="240" w:lineRule="auto"/>
              <w:jc w:val="center"/>
              <w:rPr>
                <w:color w:val="auto"/>
                <w:sz w:val="24"/>
                <w:szCs w:val="24"/>
              </w:rPr>
            </w:pPr>
          </w:p>
        </w:tc>
        <w:tc>
          <w:tcPr>
            <w:tcW w:w="1303" w:type="dxa"/>
            <w:vMerge w:val="continue"/>
            <w:vAlign w:val="center"/>
          </w:tcPr>
          <w:p w14:paraId="2A31272A">
            <w:pPr>
              <w:adjustRightInd w:val="0"/>
              <w:snapToGrid w:val="0"/>
              <w:spacing w:line="240" w:lineRule="auto"/>
              <w:jc w:val="center"/>
              <w:rPr>
                <w:color w:val="auto"/>
                <w:sz w:val="24"/>
                <w:szCs w:val="24"/>
              </w:rPr>
            </w:pPr>
          </w:p>
        </w:tc>
        <w:tc>
          <w:tcPr>
            <w:tcW w:w="1512" w:type="dxa"/>
            <w:vAlign w:val="center"/>
          </w:tcPr>
          <w:p w14:paraId="3AB83220">
            <w:pPr>
              <w:autoSpaceDE w:val="0"/>
              <w:autoSpaceDN w:val="0"/>
              <w:adjustRightInd w:val="0"/>
              <w:snapToGrid w:val="0"/>
              <w:spacing w:line="240" w:lineRule="auto"/>
              <w:jc w:val="center"/>
              <w:rPr>
                <w:color w:val="auto"/>
                <w:kern w:val="0"/>
                <w:sz w:val="24"/>
                <w:szCs w:val="24"/>
              </w:rPr>
            </w:pPr>
            <w:r>
              <w:rPr>
                <w:color w:val="auto"/>
                <w:kern w:val="0"/>
                <w:sz w:val="24"/>
                <w:szCs w:val="24"/>
              </w:rPr>
              <w:t>COD</w:t>
            </w:r>
          </w:p>
        </w:tc>
        <w:tc>
          <w:tcPr>
            <w:tcW w:w="1185" w:type="dxa"/>
            <w:vMerge w:val="continue"/>
            <w:vAlign w:val="center"/>
          </w:tcPr>
          <w:p w14:paraId="4767D47C">
            <w:pPr>
              <w:adjustRightInd w:val="0"/>
              <w:snapToGrid w:val="0"/>
              <w:spacing w:line="240" w:lineRule="auto"/>
              <w:jc w:val="center"/>
              <w:rPr>
                <w:color w:val="auto"/>
                <w:sz w:val="24"/>
                <w:szCs w:val="24"/>
              </w:rPr>
            </w:pPr>
          </w:p>
        </w:tc>
        <w:tc>
          <w:tcPr>
            <w:tcW w:w="1097" w:type="dxa"/>
            <w:vAlign w:val="center"/>
          </w:tcPr>
          <w:p w14:paraId="754F713C">
            <w:pPr>
              <w:pStyle w:val="52"/>
              <w:adjustRightInd w:val="0"/>
              <w:snapToGrid w:val="0"/>
              <w:spacing w:line="240" w:lineRule="auto"/>
              <w:ind w:firstLine="0" w:firstLineChars="0"/>
              <w:jc w:val="center"/>
              <w:rPr>
                <w:color w:val="auto"/>
                <w:kern w:val="0"/>
                <w:szCs w:val="24"/>
              </w:rPr>
            </w:pPr>
            <w:r>
              <w:rPr>
                <w:bCs/>
                <w:color w:val="auto"/>
                <w:szCs w:val="24"/>
              </w:rPr>
              <w:t>50</w:t>
            </w:r>
          </w:p>
        </w:tc>
        <w:tc>
          <w:tcPr>
            <w:tcW w:w="1098" w:type="dxa"/>
            <w:shd w:val="clear" w:color="auto" w:fill="auto"/>
            <w:vAlign w:val="center"/>
          </w:tcPr>
          <w:p w14:paraId="7F4050A1">
            <w:pPr>
              <w:pStyle w:val="41"/>
              <w:rPr>
                <w:rFonts w:ascii="Times New Roman" w:hAnsi="Times New Roman" w:eastAsia="宋体" w:cs="Times New Roman"/>
                <w:color w:val="auto"/>
                <w:kern w:val="2"/>
                <w:sz w:val="21"/>
                <w:szCs w:val="21"/>
                <w:lang w:val="en-US" w:eastAsia="zh-CN" w:bidi="ar-SA"/>
              </w:rPr>
            </w:pPr>
            <w:r>
              <w:rPr>
                <w:rFonts w:hint="eastAsia"/>
                <w:color w:val="auto"/>
              </w:rPr>
              <w:t>3</w:t>
            </w:r>
            <w:r>
              <w:rPr>
                <w:color w:val="auto"/>
              </w:rPr>
              <w:t>0</w:t>
            </w:r>
          </w:p>
        </w:tc>
        <w:tc>
          <w:tcPr>
            <w:tcW w:w="1799" w:type="dxa"/>
            <w:vMerge w:val="continue"/>
            <w:vAlign w:val="center"/>
          </w:tcPr>
          <w:p w14:paraId="49965522">
            <w:pPr>
              <w:spacing w:line="240" w:lineRule="auto"/>
              <w:jc w:val="center"/>
              <w:rPr>
                <w:color w:val="auto"/>
                <w:sz w:val="24"/>
                <w:szCs w:val="24"/>
              </w:rPr>
            </w:pPr>
          </w:p>
        </w:tc>
      </w:tr>
      <w:tr w14:paraId="323DA3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10" w:type="dxa"/>
            <w:vMerge w:val="continue"/>
            <w:vAlign w:val="center"/>
          </w:tcPr>
          <w:p w14:paraId="3F05ED93">
            <w:pPr>
              <w:adjustRightInd w:val="0"/>
              <w:snapToGrid w:val="0"/>
              <w:spacing w:line="240" w:lineRule="auto"/>
              <w:jc w:val="center"/>
              <w:rPr>
                <w:color w:val="auto"/>
                <w:sz w:val="24"/>
                <w:szCs w:val="24"/>
              </w:rPr>
            </w:pPr>
          </w:p>
        </w:tc>
        <w:tc>
          <w:tcPr>
            <w:tcW w:w="1303" w:type="dxa"/>
            <w:vMerge w:val="continue"/>
            <w:vAlign w:val="center"/>
          </w:tcPr>
          <w:p w14:paraId="6177ECE7">
            <w:pPr>
              <w:adjustRightInd w:val="0"/>
              <w:snapToGrid w:val="0"/>
              <w:spacing w:line="240" w:lineRule="auto"/>
              <w:jc w:val="center"/>
              <w:rPr>
                <w:color w:val="auto"/>
                <w:sz w:val="24"/>
                <w:szCs w:val="24"/>
              </w:rPr>
            </w:pPr>
          </w:p>
        </w:tc>
        <w:tc>
          <w:tcPr>
            <w:tcW w:w="1512" w:type="dxa"/>
            <w:vAlign w:val="center"/>
          </w:tcPr>
          <w:p w14:paraId="50C84537">
            <w:pPr>
              <w:autoSpaceDE w:val="0"/>
              <w:autoSpaceDN w:val="0"/>
              <w:adjustRightInd w:val="0"/>
              <w:snapToGrid w:val="0"/>
              <w:spacing w:line="240" w:lineRule="auto"/>
              <w:jc w:val="center"/>
              <w:rPr>
                <w:color w:val="auto"/>
                <w:sz w:val="24"/>
                <w:szCs w:val="24"/>
              </w:rPr>
            </w:pPr>
            <w:r>
              <w:rPr>
                <w:color w:val="auto"/>
                <w:kern w:val="0"/>
                <w:sz w:val="24"/>
                <w:szCs w:val="24"/>
              </w:rPr>
              <w:t>SS</w:t>
            </w:r>
          </w:p>
        </w:tc>
        <w:tc>
          <w:tcPr>
            <w:tcW w:w="1185" w:type="dxa"/>
            <w:vMerge w:val="continue"/>
            <w:vAlign w:val="center"/>
          </w:tcPr>
          <w:p w14:paraId="2E142D04">
            <w:pPr>
              <w:adjustRightInd w:val="0"/>
              <w:snapToGrid w:val="0"/>
              <w:spacing w:line="240" w:lineRule="auto"/>
              <w:jc w:val="center"/>
              <w:rPr>
                <w:color w:val="auto"/>
                <w:sz w:val="24"/>
                <w:szCs w:val="24"/>
              </w:rPr>
            </w:pPr>
          </w:p>
        </w:tc>
        <w:tc>
          <w:tcPr>
            <w:tcW w:w="1097" w:type="dxa"/>
            <w:vAlign w:val="center"/>
          </w:tcPr>
          <w:p w14:paraId="570FCAB8">
            <w:pPr>
              <w:pStyle w:val="52"/>
              <w:adjustRightInd w:val="0"/>
              <w:snapToGrid w:val="0"/>
              <w:spacing w:line="240" w:lineRule="auto"/>
              <w:ind w:firstLine="0" w:firstLineChars="0"/>
              <w:jc w:val="center"/>
              <w:rPr>
                <w:color w:val="auto"/>
                <w:szCs w:val="24"/>
              </w:rPr>
            </w:pPr>
            <w:r>
              <w:rPr>
                <w:bCs/>
                <w:color w:val="auto"/>
                <w:szCs w:val="24"/>
              </w:rPr>
              <w:t>10</w:t>
            </w:r>
          </w:p>
        </w:tc>
        <w:tc>
          <w:tcPr>
            <w:tcW w:w="1098" w:type="dxa"/>
            <w:shd w:val="clear" w:color="auto" w:fill="auto"/>
            <w:vAlign w:val="center"/>
          </w:tcPr>
          <w:p w14:paraId="11E65120">
            <w:pPr>
              <w:pStyle w:val="41"/>
              <w:rPr>
                <w:rFonts w:ascii="Times New Roman" w:hAnsi="Times New Roman" w:eastAsia="宋体" w:cs="Times New Roman"/>
                <w:color w:val="auto"/>
                <w:kern w:val="2"/>
                <w:sz w:val="21"/>
                <w:szCs w:val="21"/>
                <w:lang w:val="en-US" w:eastAsia="zh-CN" w:bidi="ar-SA"/>
              </w:rPr>
            </w:pPr>
            <w:r>
              <w:rPr>
                <w:rFonts w:hint="eastAsia"/>
                <w:color w:val="auto"/>
              </w:rPr>
              <w:t>1</w:t>
            </w:r>
            <w:r>
              <w:rPr>
                <w:color w:val="auto"/>
              </w:rPr>
              <w:t>0</w:t>
            </w:r>
          </w:p>
        </w:tc>
        <w:tc>
          <w:tcPr>
            <w:tcW w:w="1799" w:type="dxa"/>
            <w:vMerge w:val="continue"/>
            <w:vAlign w:val="center"/>
          </w:tcPr>
          <w:p w14:paraId="6FB0C46B">
            <w:pPr>
              <w:spacing w:line="240" w:lineRule="auto"/>
              <w:jc w:val="center"/>
              <w:rPr>
                <w:color w:val="auto"/>
                <w:sz w:val="24"/>
                <w:szCs w:val="24"/>
              </w:rPr>
            </w:pPr>
          </w:p>
        </w:tc>
      </w:tr>
      <w:tr w14:paraId="4C2EC6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10" w:type="dxa"/>
            <w:vMerge w:val="continue"/>
            <w:vAlign w:val="center"/>
          </w:tcPr>
          <w:p w14:paraId="01A53CD0">
            <w:pPr>
              <w:adjustRightInd w:val="0"/>
              <w:snapToGrid w:val="0"/>
              <w:spacing w:line="240" w:lineRule="auto"/>
              <w:jc w:val="center"/>
              <w:rPr>
                <w:color w:val="auto"/>
                <w:sz w:val="24"/>
                <w:szCs w:val="24"/>
              </w:rPr>
            </w:pPr>
          </w:p>
        </w:tc>
        <w:tc>
          <w:tcPr>
            <w:tcW w:w="1303" w:type="dxa"/>
            <w:vMerge w:val="continue"/>
            <w:vAlign w:val="center"/>
          </w:tcPr>
          <w:p w14:paraId="3B1A9A2E">
            <w:pPr>
              <w:adjustRightInd w:val="0"/>
              <w:snapToGrid w:val="0"/>
              <w:spacing w:line="240" w:lineRule="auto"/>
              <w:jc w:val="center"/>
              <w:rPr>
                <w:color w:val="auto"/>
                <w:sz w:val="24"/>
                <w:szCs w:val="24"/>
              </w:rPr>
            </w:pPr>
          </w:p>
        </w:tc>
        <w:tc>
          <w:tcPr>
            <w:tcW w:w="1512" w:type="dxa"/>
            <w:vAlign w:val="center"/>
          </w:tcPr>
          <w:p w14:paraId="0699AD68">
            <w:pPr>
              <w:autoSpaceDE w:val="0"/>
              <w:autoSpaceDN w:val="0"/>
              <w:adjustRightInd w:val="0"/>
              <w:snapToGrid w:val="0"/>
              <w:spacing w:line="240" w:lineRule="auto"/>
              <w:jc w:val="center"/>
              <w:rPr>
                <w:color w:val="auto"/>
                <w:sz w:val="24"/>
                <w:szCs w:val="24"/>
              </w:rPr>
            </w:pPr>
            <w:r>
              <w:rPr>
                <w:color w:val="auto"/>
                <w:kern w:val="0"/>
                <w:sz w:val="24"/>
                <w:szCs w:val="24"/>
              </w:rPr>
              <w:t>氨氮</w:t>
            </w:r>
          </w:p>
        </w:tc>
        <w:tc>
          <w:tcPr>
            <w:tcW w:w="1185" w:type="dxa"/>
            <w:vMerge w:val="continue"/>
            <w:vAlign w:val="center"/>
          </w:tcPr>
          <w:p w14:paraId="509E33CA">
            <w:pPr>
              <w:adjustRightInd w:val="0"/>
              <w:snapToGrid w:val="0"/>
              <w:spacing w:line="240" w:lineRule="auto"/>
              <w:jc w:val="center"/>
              <w:rPr>
                <w:color w:val="auto"/>
                <w:sz w:val="24"/>
                <w:szCs w:val="24"/>
              </w:rPr>
            </w:pPr>
          </w:p>
        </w:tc>
        <w:tc>
          <w:tcPr>
            <w:tcW w:w="1097" w:type="dxa"/>
            <w:vAlign w:val="center"/>
          </w:tcPr>
          <w:p w14:paraId="6035B162">
            <w:pPr>
              <w:pStyle w:val="52"/>
              <w:adjustRightInd w:val="0"/>
              <w:snapToGrid w:val="0"/>
              <w:spacing w:line="240" w:lineRule="auto"/>
              <w:ind w:firstLine="0" w:firstLineChars="0"/>
              <w:jc w:val="center"/>
              <w:rPr>
                <w:color w:val="auto"/>
                <w:szCs w:val="24"/>
              </w:rPr>
            </w:pPr>
            <w:r>
              <w:rPr>
                <w:bCs/>
                <w:color w:val="auto"/>
                <w:szCs w:val="24"/>
              </w:rPr>
              <w:t>4（6）*</w:t>
            </w:r>
          </w:p>
        </w:tc>
        <w:tc>
          <w:tcPr>
            <w:tcW w:w="1098" w:type="dxa"/>
            <w:shd w:val="clear" w:color="auto" w:fill="auto"/>
            <w:vAlign w:val="center"/>
          </w:tcPr>
          <w:p w14:paraId="58EB6F59">
            <w:pPr>
              <w:pStyle w:val="41"/>
              <w:rPr>
                <w:rFonts w:ascii="Times New Roman" w:hAnsi="Times New Roman" w:eastAsia="宋体" w:cs="Times New Roman"/>
                <w:color w:val="auto"/>
                <w:kern w:val="2"/>
                <w:sz w:val="21"/>
                <w:szCs w:val="21"/>
                <w:lang w:val="en-US" w:eastAsia="zh-CN" w:bidi="ar-SA"/>
              </w:rPr>
            </w:pPr>
            <w:r>
              <w:rPr>
                <w:rFonts w:hint="eastAsia"/>
                <w:color w:val="auto"/>
              </w:rPr>
              <w:t>1</w:t>
            </w:r>
            <w:r>
              <w:rPr>
                <w:color w:val="auto"/>
              </w:rPr>
              <w:t>.5</w:t>
            </w:r>
            <w:r>
              <w:rPr>
                <w:rFonts w:hint="eastAsia"/>
                <w:color w:val="auto"/>
              </w:rPr>
              <w:t>（3）</w:t>
            </w:r>
            <w:r>
              <w:rPr>
                <w:color w:val="auto"/>
              </w:rPr>
              <w:t>*</w:t>
            </w:r>
          </w:p>
        </w:tc>
        <w:tc>
          <w:tcPr>
            <w:tcW w:w="1799" w:type="dxa"/>
            <w:vMerge w:val="continue"/>
            <w:vAlign w:val="center"/>
          </w:tcPr>
          <w:p w14:paraId="7BB0A554">
            <w:pPr>
              <w:spacing w:line="240" w:lineRule="auto"/>
              <w:jc w:val="center"/>
              <w:rPr>
                <w:color w:val="auto"/>
                <w:sz w:val="24"/>
                <w:szCs w:val="24"/>
              </w:rPr>
            </w:pPr>
          </w:p>
        </w:tc>
      </w:tr>
      <w:tr w14:paraId="3EB02D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10" w:type="dxa"/>
            <w:vMerge w:val="continue"/>
            <w:vAlign w:val="center"/>
          </w:tcPr>
          <w:p w14:paraId="397BB0ED">
            <w:pPr>
              <w:adjustRightInd w:val="0"/>
              <w:snapToGrid w:val="0"/>
              <w:spacing w:line="240" w:lineRule="auto"/>
              <w:jc w:val="center"/>
              <w:rPr>
                <w:color w:val="auto"/>
                <w:sz w:val="24"/>
                <w:szCs w:val="24"/>
              </w:rPr>
            </w:pPr>
          </w:p>
        </w:tc>
        <w:tc>
          <w:tcPr>
            <w:tcW w:w="1303" w:type="dxa"/>
            <w:vMerge w:val="continue"/>
            <w:vAlign w:val="center"/>
          </w:tcPr>
          <w:p w14:paraId="593F4C36">
            <w:pPr>
              <w:adjustRightInd w:val="0"/>
              <w:snapToGrid w:val="0"/>
              <w:spacing w:line="240" w:lineRule="auto"/>
              <w:jc w:val="center"/>
              <w:rPr>
                <w:color w:val="auto"/>
                <w:sz w:val="24"/>
                <w:szCs w:val="24"/>
              </w:rPr>
            </w:pPr>
          </w:p>
        </w:tc>
        <w:tc>
          <w:tcPr>
            <w:tcW w:w="1512" w:type="dxa"/>
            <w:vAlign w:val="center"/>
          </w:tcPr>
          <w:p w14:paraId="6C5BA4D5">
            <w:pPr>
              <w:autoSpaceDE w:val="0"/>
              <w:autoSpaceDN w:val="0"/>
              <w:adjustRightInd w:val="0"/>
              <w:snapToGrid w:val="0"/>
              <w:spacing w:line="240" w:lineRule="auto"/>
              <w:jc w:val="center"/>
              <w:rPr>
                <w:color w:val="auto"/>
                <w:sz w:val="24"/>
                <w:szCs w:val="24"/>
              </w:rPr>
            </w:pPr>
            <w:r>
              <w:rPr>
                <w:color w:val="auto"/>
                <w:kern w:val="0"/>
                <w:sz w:val="24"/>
                <w:szCs w:val="24"/>
              </w:rPr>
              <w:t>总磷</w:t>
            </w:r>
          </w:p>
        </w:tc>
        <w:tc>
          <w:tcPr>
            <w:tcW w:w="1185" w:type="dxa"/>
            <w:vMerge w:val="continue"/>
            <w:vAlign w:val="center"/>
          </w:tcPr>
          <w:p w14:paraId="12CF6AD4">
            <w:pPr>
              <w:adjustRightInd w:val="0"/>
              <w:snapToGrid w:val="0"/>
              <w:spacing w:line="240" w:lineRule="auto"/>
              <w:jc w:val="center"/>
              <w:rPr>
                <w:color w:val="auto"/>
                <w:sz w:val="24"/>
                <w:szCs w:val="24"/>
              </w:rPr>
            </w:pPr>
          </w:p>
        </w:tc>
        <w:tc>
          <w:tcPr>
            <w:tcW w:w="1097" w:type="dxa"/>
            <w:vAlign w:val="center"/>
          </w:tcPr>
          <w:p w14:paraId="3A420CC6">
            <w:pPr>
              <w:pStyle w:val="52"/>
              <w:adjustRightInd w:val="0"/>
              <w:snapToGrid w:val="0"/>
              <w:spacing w:line="240" w:lineRule="auto"/>
              <w:ind w:firstLine="0" w:firstLineChars="0"/>
              <w:jc w:val="center"/>
              <w:rPr>
                <w:color w:val="auto"/>
                <w:szCs w:val="24"/>
              </w:rPr>
            </w:pPr>
            <w:r>
              <w:rPr>
                <w:bCs/>
                <w:color w:val="auto"/>
                <w:szCs w:val="24"/>
              </w:rPr>
              <w:t>0.5</w:t>
            </w:r>
          </w:p>
        </w:tc>
        <w:tc>
          <w:tcPr>
            <w:tcW w:w="1098" w:type="dxa"/>
            <w:shd w:val="clear" w:color="auto" w:fill="auto"/>
            <w:vAlign w:val="center"/>
          </w:tcPr>
          <w:p w14:paraId="4B81AA25">
            <w:pPr>
              <w:pStyle w:val="41"/>
              <w:rPr>
                <w:rFonts w:ascii="Times New Roman" w:hAnsi="Times New Roman" w:eastAsia="宋体" w:cs="Times New Roman"/>
                <w:color w:val="auto"/>
                <w:kern w:val="2"/>
                <w:sz w:val="21"/>
                <w:szCs w:val="21"/>
                <w:lang w:val="en-US" w:eastAsia="zh-CN" w:bidi="ar-SA"/>
              </w:rPr>
            </w:pPr>
            <w:r>
              <w:rPr>
                <w:rFonts w:hint="eastAsia"/>
                <w:color w:val="auto"/>
              </w:rPr>
              <w:t>0</w:t>
            </w:r>
            <w:r>
              <w:rPr>
                <w:color w:val="auto"/>
              </w:rPr>
              <w:t>.3</w:t>
            </w:r>
          </w:p>
        </w:tc>
        <w:tc>
          <w:tcPr>
            <w:tcW w:w="1799" w:type="dxa"/>
            <w:vMerge w:val="continue"/>
            <w:vAlign w:val="center"/>
          </w:tcPr>
          <w:p w14:paraId="658B6F3E">
            <w:pPr>
              <w:spacing w:line="240" w:lineRule="auto"/>
              <w:jc w:val="center"/>
              <w:rPr>
                <w:color w:val="auto"/>
                <w:sz w:val="24"/>
                <w:szCs w:val="24"/>
              </w:rPr>
            </w:pPr>
          </w:p>
        </w:tc>
      </w:tr>
      <w:tr w14:paraId="32C9C4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10" w:type="dxa"/>
            <w:vMerge w:val="continue"/>
            <w:vAlign w:val="center"/>
          </w:tcPr>
          <w:p w14:paraId="07C0018A">
            <w:pPr>
              <w:adjustRightInd w:val="0"/>
              <w:snapToGrid w:val="0"/>
              <w:spacing w:line="240" w:lineRule="auto"/>
              <w:jc w:val="center"/>
              <w:rPr>
                <w:color w:val="auto"/>
                <w:sz w:val="24"/>
                <w:szCs w:val="24"/>
              </w:rPr>
            </w:pPr>
          </w:p>
        </w:tc>
        <w:tc>
          <w:tcPr>
            <w:tcW w:w="1303" w:type="dxa"/>
            <w:vMerge w:val="continue"/>
            <w:vAlign w:val="center"/>
          </w:tcPr>
          <w:p w14:paraId="6C07C799">
            <w:pPr>
              <w:adjustRightInd w:val="0"/>
              <w:snapToGrid w:val="0"/>
              <w:spacing w:line="240" w:lineRule="auto"/>
              <w:jc w:val="center"/>
              <w:rPr>
                <w:color w:val="auto"/>
                <w:sz w:val="24"/>
                <w:szCs w:val="24"/>
              </w:rPr>
            </w:pPr>
          </w:p>
        </w:tc>
        <w:tc>
          <w:tcPr>
            <w:tcW w:w="1512" w:type="dxa"/>
            <w:vAlign w:val="center"/>
          </w:tcPr>
          <w:p w14:paraId="018128D4">
            <w:pPr>
              <w:autoSpaceDE w:val="0"/>
              <w:autoSpaceDN w:val="0"/>
              <w:adjustRightInd w:val="0"/>
              <w:snapToGrid w:val="0"/>
              <w:spacing w:line="240" w:lineRule="auto"/>
              <w:jc w:val="center"/>
              <w:rPr>
                <w:color w:val="auto"/>
                <w:sz w:val="24"/>
                <w:szCs w:val="24"/>
              </w:rPr>
            </w:pPr>
            <w:r>
              <w:rPr>
                <w:color w:val="auto"/>
                <w:kern w:val="0"/>
                <w:sz w:val="24"/>
                <w:szCs w:val="24"/>
              </w:rPr>
              <w:t>总氮</w:t>
            </w:r>
          </w:p>
        </w:tc>
        <w:tc>
          <w:tcPr>
            <w:tcW w:w="1185" w:type="dxa"/>
            <w:vMerge w:val="continue"/>
            <w:vAlign w:val="center"/>
          </w:tcPr>
          <w:p w14:paraId="53080463">
            <w:pPr>
              <w:adjustRightInd w:val="0"/>
              <w:snapToGrid w:val="0"/>
              <w:spacing w:line="240" w:lineRule="auto"/>
              <w:jc w:val="center"/>
              <w:rPr>
                <w:color w:val="auto"/>
                <w:sz w:val="24"/>
                <w:szCs w:val="24"/>
              </w:rPr>
            </w:pPr>
          </w:p>
        </w:tc>
        <w:tc>
          <w:tcPr>
            <w:tcW w:w="1097" w:type="dxa"/>
            <w:vAlign w:val="center"/>
          </w:tcPr>
          <w:p w14:paraId="759D2CB8">
            <w:pPr>
              <w:pStyle w:val="52"/>
              <w:adjustRightInd w:val="0"/>
              <w:snapToGrid w:val="0"/>
              <w:spacing w:line="240" w:lineRule="auto"/>
              <w:ind w:firstLine="0" w:firstLineChars="0"/>
              <w:jc w:val="center"/>
              <w:rPr>
                <w:color w:val="auto"/>
                <w:szCs w:val="24"/>
              </w:rPr>
            </w:pPr>
            <w:r>
              <w:rPr>
                <w:bCs/>
                <w:color w:val="auto"/>
                <w:szCs w:val="24"/>
              </w:rPr>
              <w:t>12（15）*</w:t>
            </w:r>
          </w:p>
        </w:tc>
        <w:tc>
          <w:tcPr>
            <w:tcW w:w="1098" w:type="dxa"/>
            <w:shd w:val="clear" w:color="auto" w:fill="auto"/>
            <w:vAlign w:val="center"/>
          </w:tcPr>
          <w:p w14:paraId="45D6685D">
            <w:pPr>
              <w:pStyle w:val="41"/>
              <w:rPr>
                <w:rFonts w:ascii="Times New Roman" w:hAnsi="Times New Roman" w:eastAsia="宋体" w:cs="Times New Roman"/>
                <w:color w:val="auto"/>
                <w:kern w:val="2"/>
                <w:sz w:val="21"/>
                <w:szCs w:val="21"/>
                <w:lang w:val="en-US" w:eastAsia="zh-CN" w:bidi="ar-SA"/>
              </w:rPr>
            </w:pPr>
            <w:r>
              <w:rPr>
                <w:rFonts w:hint="eastAsia"/>
                <w:color w:val="auto"/>
              </w:rPr>
              <w:t>1</w:t>
            </w:r>
            <w:r>
              <w:rPr>
                <w:color w:val="auto"/>
              </w:rPr>
              <w:t>0</w:t>
            </w:r>
            <w:r>
              <w:rPr>
                <w:rFonts w:hint="eastAsia"/>
                <w:color w:val="auto"/>
              </w:rPr>
              <w:t>（1</w:t>
            </w:r>
            <w:r>
              <w:rPr>
                <w:color w:val="auto"/>
              </w:rPr>
              <w:t>2</w:t>
            </w:r>
            <w:r>
              <w:rPr>
                <w:rFonts w:hint="eastAsia"/>
                <w:color w:val="auto"/>
              </w:rPr>
              <w:t>）</w:t>
            </w:r>
            <w:r>
              <w:rPr>
                <w:color w:val="auto"/>
              </w:rPr>
              <w:t>*</w:t>
            </w:r>
          </w:p>
        </w:tc>
        <w:tc>
          <w:tcPr>
            <w:tcW w:w="1799" w:type="dxa"/>
            <w:vMerge w:val="continue"/>
            <w:vAlign w:val="center"/>
          </w:tcPr>
          <w:p w14:paraId="7D8BDDC4">
            <w:pPr>
              <w:spacing w:line="240" w:lineRule="auto"/>
              <w:jc w:val="center"/>
              <w:rPr>
                <w:color w:val="auto"/>
                <w:sz w:val="24"/>
                <w:szCs w:val="24"/>
              </w:rPr>
            </w:pPr>
          </w:p>
        </w:tc>
      </w:tr>
      <w:tr w14:paraId="5CC757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54" w:hRule="atLeast"/>
          <w:jc w:val="center"/>
        </w:trPr>
        <w:tc>
          <w:tcPr>
            <w:tcW w:w="1210" w:type="dxa"/>
            <w:vAlign w:val="center"/>
          </w:tcPr>
          <w:p w14:paraId="01962FC5">
            <w:pPr>
              <w:adjustRightInd w:val="0"/>
              <w:snapToGrid w:val="0"/>
              <w:spacing w:line="240" w:lineRule="auto"/>
              <w:jc w:val="center"/>
              <w:rPr>
                <w:color w:val="auto"/>
                <w:sz w:val="24"/>
                <w:szCs w:val="24"/>
              </w:rPr>
            </w:pPr>
            <w:r>
              <w:rPr>
                <w:color w:val="auto"/>
                <w:sz w:val="24"/>
                <w:szCs w:val="24"/>
              </w:rPr>
              <w:t>声环境</w:t>
            </w:r>
          </w:p>
        </w:tc>
        <w:tc>
          <w:tcPr>
            <w:tcW w:w="1303" w:type="dxa"/>
            <w:vAlign w:val="center"/>
          </w:tcPr>
          <w:p w14:paraId="79B34B97">
            <w:pPr>
              <w:adjustRightInd w:val="0"/>
              <w:snapToGrid w:val="0"/>
              <w:spacing w:line="240" w:lineRule="auto"/>
              <w:jc w:val="center"/>
              <w:rPr>
                <w:color w:val="auto"/>
                <w:sz w:val="24"/>
                <w:szCs w:val="24"/>
              </w:rPr>
            </w:pPr>
            <w:r>
              <w:rPr>
                <w:color w:val="auto"/>
                <w:sz w:val="24"/>
                <w:szCs w:val="24"/>
              </w:rPr>
              <w:t>热转移印花机、数码打印机、风机</w:t>
            </w:r>
          </w:p>
        </w:tc>
        <w:tc>
          <w:tcPr>
            <w:tcW w:w="1512" w:type="dxa"/>
            <w:vAlign w:val="center"/>
          </w:tcPr>
          <w:p w14:paraId="6E67D471">
            <w:pPr>
              <w:adjustRightInd w:val="0"/>
              <w:snapToGrid w:val="0"/>
              <w:spacing w:line="240" w:lineRule="auto"/>
              <w:jc w:val="center"/>
              <w:rPr>
                <w:color w:val="auto"/>
                <w:sz w:val="24"/>
                <w:szCs w:val="24"/>
              </w:rPr>
            </w:pPr>
            <w:r>
              <w:rPr>
                <w:color w:val="auto"/>
                <w:sz w:val="24"/>
                <w:szCs w:val="24"/>
              </w:rPr>
              <w:t>噪声</w:t>
            </w:r>
          </w:p>
        </w:tc>
        <w:tc>
          <w:tcPr>
            <w:tcW w:w="1185" w:type="dxa"/>
            <w:vAlign w:val="center"/>
          </w:tcPr>
          <w:p w14:paraId="204DF0B5">
            <w:pPr>
              <w:adjustRightInd w:val="0"/>
              <w:snapToGrid w:val="0"/>
              <w:spacing w:line="240" w:lineRule="auto"/>
              <w:jc w:val="center"/>
              <w:rPr>
                <w:color w:val="auto"/>
                <w:sz w:val="24"/>
                <w:szCs w:val="24"/>
              </w:rPr>
            </w:pPr>
            <w:r>
              <w:rPr>
                <w:color w:val="auto"/>
                <w:sz w:val="24"/>
                <w:szCs w:val="24"/>
              </w:rPr>
              <w:t>合理布局、选用低噪声设备、采取隔振罩等</w:t>
            </w:r>
          </w:p>
        </w:tc>
        <w:tc>
          <w:tcPr>
            <w:tcW w:w="3994" w:type="dxa"/>
            <w:gridSpan w:val="3"/>
            <w:vAlign w:val="center"/>
          </w:tcPr>
          <w:p w14:paraId="69181AC1">
            <w:pPr>
              <w:adjustRightInd w:val="0"/>
              <w:snapToGrid w:val="0"/>
              <w:spacing w:line="240" w:lineRule="auto"/>
              <w:jc w:val="center"/>
              <w:rPr>
                <w:color w:val="auto"/>
                <w:sz w:val="24"/>
                <w:szCs w:val="24"/>
              </w:rPr>
            </w:pPr>
            <w:r>
              <w:rPr>
                <w:color w:val="auto"/>
                <w:sz w:val="24"/>
                <w:szCs w:val="24"/>
              </w:rPr>
              <w:t>南侧厂界噪声</w:t>
            </w:r>
            <w:r>
              <w:rPr>
                <w:rFonts w:hint="eastAsia"/>
                <w:color w:val="auto"/>
                <w:sz w:val="24"/>
                <w:szCs w:val="24"/>
              </w:rPr>
              <w:t>满足</w:t>
            </w:r>
            <w:r>
              <w:rPr>
                <w:color w:val="auto"/>
                <w:sz w:val="24"/>
                <w:szCs w:val="24"/>
              </w:rPr>
              <w:t>《工业企业厂界环境噪声排放标准》（GB12348-2008）表1中4类标准，即昼间≤</w:t>
            </w:r>
            <w:r>
              <w:rPr>
                <w:rFonts w:hint="eastAsia"/>
                <w:color w:val="auto"/>
                <w:sz w:val="24"/>
                <w:szCs w:val="24"/>
              </w:rPr>
              <w:t>70</w:t>
            </w:r>
            <w:r>
              <w:rPr>
                <w:color w:val="auto"/>
                <w:sz w:val="24"/>
                <w:szCs w:val="24"/>
              </w:rPr>
              <w:t>dB(A)其他厂界噪声</w:t>
            </w:r>
            <w:r>
              <w:rPr>
                <w:rFonts w:hint="eastAsia"/>
                <w:color w:val="auto"/>
                <w:sz w:val="24"/>
                <w:szCs w:val="24"/>
              </w:rPr>
              <w:t>满足</w:t>
            </w:r>
            <w:r>
              <w:rPr>
                <w:color w:val="auto"/>
                <w:sz w:val="24"/>
                <w:szCs w:val="24"/>
              </w:rPr>
              <w:t>《工业企业厂界环境噪声排放标准》（GB12348-2008）表1中2类标准，即昼间≤6</w:t>
            </w:r>
            <w:r>
              <w:rPr>
                <w:rFonts w:hint="eastAsia"/>
                <w:color w:val="auto"/>
                <w:sz w:val="24"/>
                <w:szCs w:val="24"/>
              </w:rPr>
              <w:t>0</w:t>
            </w:r>
            <w:r>
              <w:rPr>
                <w:color w:val="auto"/>
                <w:sz w:val="24"/>
                <w:szCs w:val="24"/>
              </w:rPr>
              <w:t>dB(A)</w:t>
            </w:r>
          </w:p>
        </w:tc>
      </w:tr>
      <w:tr w14:paraId="03A1C0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37" w:hRule="atLeast"/>
          <w:jc w:val="center"/>
        </w:trPr>
        <w:tc>
          <w:tcPr>
            <w:tcW w:w="1210" w:type="dxa"/>
            <w:vAlign w:val="center"/>
          </w:tcPr>
          <w:p w14:paraId="667486DD">
            <w:pPr>
              <w:adjustRightInd w:val="0"/>
              <w:snapToGrid w:val="0"/>
              <w:spacing w:line="240" w:lineRule="auto"/>
              <w:jc w:val="center"/>
              <w:rPr>
                <w:color w:val="auto"/>
                <w:sz w:val="24"/>
                <w:szCs w:val="24"/>
              </w:rPr>
            </w:pPr>
            <w:r>
              <w:rPr>
                <w:color w:val="auto"/>
                <w:sz w:val="24"/>
                <w:szCs w:val="24"/>
              </w:rPr>
              <w:t>电磁辐射</w:t>
            </w:r>
          </w:p>
        </w:tc>
        <w:tc>
          <w:tcPr>
            <w:tcW w:w="1303" w:type="dxa"/>
            <w:vAlign w:val="center"/>
          </w:tcPr>
          <w:p w14:paraId="1F66C36C">
            <w:pPr>
              <w:adjustRightInd w:val="0"/>
              <w:snapToGrid w:val="0"/>
              <w:spacing w:line="240" w:lineRule="auto"/>
              <w:jc w:val="center"/>
              <w:rPr>
                <w:color w:val="auto"/>
                <w:sz w:val="24"/>
                <w:szCs w:val="24"/>
              </w:rPr>
            </w:pPr>
            <w:r>
              <w:rPr>
                <w:color w:val="auto"/>
                <w:sz w:val="24"/>
                <w:szCs w:val="24"/>
              </w:rPr>
              <w:t>/</w:t>
            </w:r>
          </w:p>
        </w:tc>
        <w:tc>
          <w:tcPr>
            <w:tcW w:w="1512" w:type="dxa"/>
            <w:vAlign w:val="center"/>
          </w:tcPr>
          <w:p w14:paraId="4463D8BB">
            <w:pPr>
              <w:adjustRightInd w:val="0"/>
              <w:snapToGrid w:val="0"/>
              <w:spacing w:line="240" w:lineRule="auto"/>
              <w:jc w:val="center"/>
              <w:rPr>
                <w:color w:val="auto"/>
                <w:sz w:val="24"/>
                <w:szCs w:val="24"/>
              </w:rPr>
            </w:pPr>
            <w:r>
              <w:rPr>
                <w:color w:val="auto"/>
                <w:sz w:val="24"/>
                <w:szCs w:val="24"/>
              </w:rPr>
              <w:t>/</w:t>
            </w:r>
          </w:p>
        </w:tc>
        <w:tc>
          <w:tcPr>
            <w:tcW w:w="1185" w:type="dxa"/>
            <w:vAlign w:val="center"/>
          </w:tcPr>
          <w:p w14:paraId="457E5740">
            <w:pPr>
              <w:adjustRightInd w:val="0"/>
              <w:snapToGrid w:val="0"/>
              <w:spacing w:line="240" w:lineRule="auto"/>
              <w:jc w:val="center"/>
              <w:rPr>
                <w:color w:val="auto"/>
                <w:sz w:val="24"/>
                <w:szCs w:val="24"/>
              </w:rPr>
            </w:pPr>
            <w:r>
              <w:rPr>
                <w:color w:val="auto"/>
                <w:sz w:val="24"/>
                <w:szCs w:val="24"/>
              </w:rPr>
              <w:t>/</w:t>
            </w:r>
          </w:p>
        </w:tc>
        <w:tc>
          <w:tcPr>
            <w:tcW w:w="3994" w:type="dxa"/>
            <w:gridSpan w:val="3"/>
            <w:vAlign w:val="center"/>
          </w:tcPr>
          <w:p w14:paraId="1AE5F982">
            <w:pPr>
              <w:adjustRightInd w:val="0"/>
              <w:snapToGrid w:val="0"/>
              <w:spacing w:line="240" w:lineRule="auto"/>
              <w:jc w:val="center"/>
              <w:rPr>
                <w:color w:val="auto"/>
                <w:sz w:val="24"/>
                <w:szCs w:val="24"/>
              </w:rPr>
            </w:pPr>
            <w:r>
              <w:rPr>
                <w:color w:val="auto"/>
                <w:sz w:val="24"/>
                <w:szCs w:val="24"/>
              </w:rPr>
              <w:t>/</w:t>
            </w:r>
          </w:p>
        </w:tc>
      </w:tr>
      <w:tr w14:paraId="15F8A0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146" w:hRule="atLeast"/>
          <w:jc w:val="center"/>
        </w:trPr>
        <w:tc>
          <w:tcPr>
            <w:tcW w:w="1210" w:type="dxa"/>
            <w:vAlign w:val="center"/>
          </w:tcPr>
          <w:p w14:paraId="6F53710C">
            <w:pPr>
              <w:adjustRightInd w:val="0"/>
              <w:snapToGrid w:val="0"/>
              <w:spacing w:line="240" w:lineRule="auto"/>
              <w:jc w:val="center"/>
              <w:rPr>
                <w:color w:val="auto"/>
                <w:sz w:val="24"/>
                <w:szCs w:val="24"/>
              </w:rPr>
            </w:pPr>
            <w:r>
              <w:rPr>
                <w:color w:val="auto"/>
                <w:sz w:val="24"/>
                <w:szCs w:val="24"/>
              </w:rPr>
              <w:t>固体废物</w:t>
            </w:r>
          </w:p>
        </w:tc>
        <w:tc>
          <w:tcPr>
            <w:tcW w:w="7994" w:type="dxa"/>
            <w:gridSpan w:val="6"/>
            <w:vAlign w:val="center"/>
          </w:tcPr>
          <w:p w14:paraId="6F24BDC3">
            <w:pPr>
              <w:adjustRightInd w:val="0"/>
              <w:snapToGrid w:val="0"/>
              <w:spacing w:line="240" w:lineRule="auto"/>
              <w:rPr>
                <w:color w:val="auto"/>
                <w:sz w:val="24"/>
                <w:szCs w:val="24"/>
              </w:rPr>
            </w:pPr>
            <w:r>
              <w:rPr>
                <w:color w:val="auto"/>
                <w:sz w:val="24"/>
                <w:szCs w:val="24"/>
              </w:rPr>
              <w:t>①一般工业固废物：废纸、废布外售综合利用。</w:t>
            </w:r>
          </w:p>
          <w:p w14:paraId="6F90CAF6">
            <w:pPr>
              <w:adjustRightInd w:val="0"/>
              <w:snapToGrid w:val="0"/>
              <w:spacing w:line="240" w:lineRule="auto"/>
              <w:rPr>
                <w:color w:val="auto"/>
                <w:sz w:val="24"/>
                <w:szCs w:val="24"/>
              </w:rPr>
            </w:pPr>
            <w:r>
              <w:rPr>
                <w:color w:val="auto"/>
                <w:sz w:val="24"/>
                <w:szCs w:val="24"/>
              </w:rPr>
              <w:t>②危险废物：废机油、废</w:t>
            </w:r>
            <w:r>
              <w:rPr>
                <w:rFonts w:hint="eastAsia"/>
                <w:color w:val="auto"/>
                <w:sz w:val="24"/>
                <w:szCs w:val="24"/>
                <w:lang w:val="en-US" w:eastAsia="zh-CN"/>
              </w:rPr>
              <w:t>油</w:t>
            </w:r>
            <w:r>
              <w:rPr>
                <w:color w:val="auto"/>
                <w:sz w:val="24"/>
                <w:szCs w:val="24"/>
              </w:rPr>
              <w:t>桶、</w:t>
            </w:r>
            <w:r>
              <w:rPr>
                <w:rFonts w:hint="eastAsia"/>
                <w:color w:val="auto"/>
                <w:sz w:val="24"/>
                <w:szCs w:val="24"/>
                <w:lang w:eastAsia="zh-CN"/>
              </w:rPr>
              <w:t>清洗废液</w:t>
            </w:r>
            <w:r>
              <w:rPr>
                <w:color w:val="auto"/>
                <w:sz w:val="24"/>
                <w:szCs w:val="24"/>
              </w:rPr>
              <w:t>、废抹布、废包装桶、</w:t>
            </w:r>
            <w:r>
              <w:rPr>
                <w:rFonts w:hint="eastAsia"/>
                <w:color w:val="auto"/>
                <w:sz w:val="24"/>
                <w:szCs w:val="24"/>
                <w:lang w:val="en-US" w:eastAsia="zh-CN"/>
              </w:rPr>
              <w:t>废活性炭</w:t>
            </w:r>
            <w:r>
              <w:rPr>
                <w:color w:val="auto"/>
                <w:sz w:val="24"/>
                <w:szCs w:val="24"/>
              </w:rPr>
              <w:t>委托有资质单位处置。</w:t>
            </w:r>
          </w:p>
          <w:p w14:paraId="20C73994">
            <w:pPr>
              <w:adjustRightInd w:val="0"/>
              <w:snapToGrid w:val="0"/>
              <w:spacing w:line="240" w:lineRule="auto"/>
              <w:rPr>
                <w:color w:val="auto"/>
                <w:sz w:val="24"/>
                <w:szCs w:val="24"/>
              </w:rPr>
            </w:pPr>
            <w:r>
              <w:rPr>
                <w:color w:val="auto"/>
                <w:sz w:val="24"/>
                <w:szCs w:val="24"/>
              </w:rPr>
              <w:t>③生活垃圾：由环卫部门清运处置。</w:t>
            </w:r>
          </w:p>
        </w:tc>
      </w:tr>
      <w:tr w14:paraId="61F97D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227" w:hRule="atLeast"/>
          <w:jc w:val="center"/>
        </w:trPr>
        <w:tc>
          <w:tcPr>
            <w:tcW w:w="1210" w:type="dxa"/>
            <w:vAlign w:val="center"/>
          </w:tcPr>
          <w:p w14:paraId="7E24091F">
            <w:pPr>
              <w:adjustRightInd w:val="0"/>
              <w:snapToGrid w:val="0"/>
              <w:spacing w:line="240" w:lineRule="auto"/>
              <w:jc w:val="center"/>
              <w:rPr>
                <w:color w:val="auto"/>
                <w:sz w:val="24"/>
                <w:szCs w:val="24"/>
              </w:rPr>
            </w:pPr>
            <w:r>
              <w:rPr>
                <w:color w:val="auto"/>
                <w:sz w:val="24"/>
                <w:szCs w:val="24"/>
              </w:rPr>
              <w:t>土壤及地下水污染防治措施</w:t>
            </w:r>
          </w:p>
        </w:tc>
        <w:tc>
          <w:tcPr>
            <w:tcW w:w="7994" w:type="dxa"/>
            <w:gridSpan w:val="6"/>
            <w:vAlign w:val="center"/>
          </w:tcPr>
          <w:p w14:paraId="477EE31F">
            <w:pPr>
              <w:pStyle w:val="41"/>
              <w:adjustRightInd w:val="0"/>
              <w:jc w:val="both"/>
              <w:rPr>
                <w:color w:val="auto"/>
                <w:sz w:val="24"/>
                <w:szCs w:val="24"/>
              </w:rPr>
            </w:pPr>
            <w:r>
              <w:rPr>
                <w:color w:val="auto"/>
                <w:sz w:val="24"/>
                <w:szCs w:val="24"/>
              </w:rPr>
              <w:t>①重点防渗区（危废暂存区、生产车间）防渗要求为等效黏土防渗层Mb≥6.0m，K≤1×10</w:t>
            </w:r>
            <w:r>
              <w:rPr>
                <w:color w:val="auto"/>
                <w:sz w:val="24"/>
                <w:szCs w:val="24"/>
                <w:vertAlign w:val="superscript"/>
              </w:rPr>
              <w:t>-7</w:t>
            </w:r>
            <w:r>
              <w:rPr>
                <w:color w:val="auto"/>
                <w:sz w:val="24"/>
                <w:szCs w:val="24"/>
              </w:rPr>
              <w:t>cm/s或参照GB18598执行；</w:t>
            </w:r>
          </w:p>
          <w:p w14:paraId="69DBF5A6">
            <w:pPr>
              <w:pStyle w:val="41"/>
              <w:adjustRightInd w:val="0"/>
              <w:jc w:val="both"/>
              <w:rPr>
                <w:color w:val="auto"/>
                <w:sz w:val="24"/>
                <w:szCs w:val="24"/>
              </w:rPr>
            </w:pPr>
            <w:r>
              <w:rPr>
                <w:color w:val="auto"/>
                <w:sz w:val="24"/>
                <w:szCs w:val="24"/>
              </w:rPr>
              <w:t>②一般防渗区（办公区、一般固废堆场等其他区域）防渗要求：等效黏土防渗层Mb≥1.5m，K≤1×10</w:t>
            </w:r>
            <w:r>
              <w:rPr>
                <w:color w:val="auto"/>
                <w:sz w:val="24"/>
                <w:szCs w:val="24"/>
                <w:vertAlign w:val="superscript"/>
              </w:rPr>
              <w:t>-7</w:t>
            </w:r>
            <w:r>
              <w:rPr>
                <w:color w:val="auto"/>
                <w:sz w:val="24"/>
                <w:szCs w:val="24"/>
              </w:rPr>
              <w:t>cm/s或参照GB16889执行；</w:t>
            </w:r>
          </w:p>
          <w:p w14:paraId="366BD5E5">
            <w:pPr>
              <w:adjustRightInd w:val="0"/>
              <w:snapToGrid w:val="0"/>
              <w:spacing w:line="240" w:lineRule="auto"/>
              <w:rPr>
                <w:color w:val="auto"/>
                <w:sz w:val="24"/>
                <w:szCs w:val="24"/>
              </w:rPr>
            </w:pPr>
            <w:r>
              <w:rPr>
                <w:color w:val="auto"/>
                <w:sz w:val="24"/>
                <w:szCs w:val="24"/>
              </w:rPr>
              <w:t>③简单防渗区（办公区、道路）防渗要求：一般地面硬化。</w:t>
            </w:r>
          </w:p>
        </w:tc>
      </w:tr>
      <w:tr w14:paraId="6B48AF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77" w:hRule="atLeast"/>
          <w:jc w:val="center"/>
        </w:trPr>
        <w:tc>
          <w:tcPr>
            <w:tcW w:w="1210" w:type="dxa"/>
            <w:vAlign w:val="center"/>
          </w:tcPr>
          <w:p w14:paraId="3B6178E4">
            <w:pPr>
              <w:adjustRightInd w:val="0"/>
              <w:snapToGrid w:val="0"/>
              <w:spacing w:line="240" w:lineRule="auto"/>
              <w:jc w:val="center"/>
              <w:rPr>
                <w:color w:val="auto"/>
                <w:sz w:val="24"/>
                <w:szCs w:val="24"/>
              </w:rPr>
            </w:pPr>
            <w:r>
              <w:rPr>
                <w:color w:val="auto"/>
                <w:sz w:val="24"/>
                <w:szCs w:val="24"/>
              </w:rPr>
              <w:t>生态保护</w:t>
            </w:r>
          </w:p>
          <w:p w14:paraId="2567A3B6">
            <w:pPr>
              <w:adjustRightInd w:val="0"/>
              <w:snapToGrid w:val="0"/>
              <w:spacing w:line="240" w:lineRule="auto"/>
              <w:jc w:val="center"/>
              <w:rPr>
                <w:color w:val="auto"/>
                <w:sz w:val="24"/>
                <w:szCs w:val="24"/>
              </w:rPr>
            </w:pPr>
            <w:r>
              <w:rPr>
                <w:color w:val="auto"/>
                <w:sz w:val="24"/>
                <w:szCs w:val="24"/>
              </w:rPr>
              <w:t>措施</w:t>
            </w:r>
          </w:p>
        </w:tc>
        <w:tc>
          <w:tcPr>
            <w:tcW w:w="7994" w:type="dxa"/>
            <w:gridSpan w:val="6"/>
            <w:vAlign w:val="center"/>
          </w:tcPr>
          <w:p w14:paraId="140051A4">
            <w:pPr>
              <w:adjustRightInd w:val="0"/>
              <w:snapToGrid w:val="0"/>
              <w:spacing w:line="240" w:lineRule="auto"/>
              <w:rPr>
                <w:color w:val="auto"/>
                <w:sz w:val="24"/>
                <w:szCs w:val="24"/>
              </w:rPr>
            </w:pPr>
            <w:r>
              <w:rPr>
                <w:color w:val="auto"/>
                <w:sz w:val="24"/>
                <w:szCs w:val="24"/>
              </w:rPr>
              <w:t>本项目不涉及。</w:t>
            </w:r>
          </w:p>
        </w:tc>
      </w:tr>
      <w:tr w14:paraId="33A2EB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74" w:hRule="atLeast"/>
          <w:jc w:val="center"/>
        </w:trPr>
        <w:tc>
          <w:tcPr>
            <w:tcW w:w="1210" w:type="dxa"/>
            <w:vAlign w:val="center"/>
          </w:tcPr>
          <w:p w14:paraId="5E8F5600">
            <w:pPr>
              <w:adjustRightInd w:val="0"/>
              <w:snapToGrid w:val="0"/>
              <w:spacing w:line="240" w:lineRule="auto"/>
              <w:jc w:val="center"/>
              <w:rPr>
                <w:color w:val="auto"/>
                <w:spacing w:val="-8"/>
                <w:sz w:val="24"/>
                <w:szCs w:val="24"/>
              </w:rPr>
            </w:pPr>
            <w:r>
              <w:rPr>
                <w:color w:val="auto"/>
                <w:spacing w:val="-8"/>
                <w:sz w:val="24"/>
                <w:szCs w:val="24"/>
              </w:rPr>
              <w:t>环境风险</w:t>
            </w:r>
          </w:p>
          <w:p w14:paraId="3BE31824">
            <w:pPr>
              <w:adjustRightInd w:val="0"/>
              <w:snapToGrid w:val="0"/>
              <w:spacing w:line="240" w:lineRule="auto"/>
              <w:jc w:val="center"/>
              <w:rPr>
                <w:color w:val="auto"/>
                <w:spacing w:val="-8"/>
                <w:sz w:val="24"/>
                <w:szCs w:val="24"/>
              </w:rPr>
            </w:pPr>
            <w:r>
              <w:rPr>
                <w:color w:val="auto"/>
                <w:spacing w:val="-8"/>
                <w:sz w:val="24"/>
                <w:szCs w:val="24"/>
              </w:rPr>
              <w:t>防范措施</w:t>
            </w:r>
          </w:p>
        </w:tc>
        <w:tc>
          <w:tcPr>
            <w:tcW w:w="7994" w:type="dxa"/>
            <w:gridSpan w:val="6"/>
            <w:vAlign w:val="center"/>
          </w:tcPr>
          <w:p w14:paraId="1221E443">
            <w:pPr>
              <w:keepNext/>
              <w:keepLines/>
              <w:adjustRightInd w:val="0"/>
              <w:snapToGrid w:val="0"/>
              <w:spacing w:line="240" w:lineRule="auto"/>
              <w:rPr>
                <w:color w:val="auto"/>
                <w:sz w:val="24"/>
                <w:szCs w:val="24"/>
              </w:rPr>
            </w:pPr>
            <w:r>
              <w:rPr>
                <w:rFonts w:hint="eastAsia"/>
                <w:color w:val="auto"/>
                <w:sz w:val="24"/>
                <w:szCs w:val="24"/>
              </w:rPr>
              <w:t>企业应从生产管理、原料贮存、消防及火灾报警系统等方面制定相应的环境风险防范措施，厂区内建设一座容积为</w:t>
            </w:r>
            <w:r>
              <w:rPr>
                <w:color w:val="auto"/>
                <w:sz w:val="24"/>
                <w:szCs w:val="24"/>
              </w:rPr>
              <w:t>1</w:t>
            </w:r>
            <w:r>
              <w:rPr>
                <w:rFonts w:hint="eastAsia"/>
                <w:color w:val="auto"/>
                <w:sz w:val="24"/>
                <w:szCs w:val="24"/>
                <w:lang w:val="en-US" w:eastAsia="zh-CN"/>
              </w:rPr>
              <w:t>2</w:t>
            </w:r>
            <w:r>
              <w:rPr>
                <w:color w:val="auto"/>
                <w:sz w:val="24"/>
                <w:szCs w:val="24"/>
              </w:rPr>
              <w:t>0</w:t>
            </w:r>
            <w:r>
              <w:rPr>
                <w:rFonts w:hint="eastAsia"/>
                <w:color w:val="auto"/>
                <w:sz w:val="24"/>
                <w:szCs w:val="24"/>
              </w:rPr>
              <w:t>m</w:t>
            </w:r>
            <w:r>
              <w:rPr>
                <w:rFonts w:hint="eastAsia"/>
                <w:color w:val="auto"/>
                <w:sz w:val="24"/>
                <w:szCs w:val="24"/>
                <w:vertAlign w:val="superscript"/>
              </w:rPr>
              <w:t>3</w:t>
            </w:r>
            <w:r>
              <w:rPr>
                <w:rFonts w:hint="eastAsia"/>
                <w:color w:val="auto"/>
                <w:sz w:val="24"/>
                <w:szCs w:val="24"/>
              </w:rPr>
              <w:t>的事故应急池，并在雨水排口处设置截止阀，能够有效防止泄漏物、消防废水外溢至附近水体，同时配备相应应急物资可以满足现有厂区事故状态下的需求，满足突发环境事件应急需求。</w:t>
            </w:r>
          </w:p>
          <w:p w14:paraId="393EA73F">
            <w:pPr>
              <w:keepNext/>
              <w:keepLines/>
              <w:adjustRightInd w:val="0"/>
              <w:snapToGrid w:val="0"/>
              <w:spacing w:line="240" w:lineRule="auto"/>
              <w:rPr>
                <w:color w:val="auto"/>
                <w:sz w:val="24"/>
                <w:szCs w:val="24"/>
              </w:rPr>
            </w:pPr>
            <w:r>
              <w:rPr>
                <w:rFonts w:hint="eastAsia"/>
                <w:color w:val="auto"/>
                <w:sz w:val="24"/>
                <w:szCs w:val="24"/>
              </w:rPr>
              <w:t>本项目完成建设后建设单位应按照《关于印发江苏省突发环境事件应急预案管理办法的通知》（苏环规[2014]2号）等相关文件要求，编制突发环境事件应急预案，评估厂区环境风险情况，明确厂区的应急物资等情况，并明确与园区/区域、地方政府环境风险应急体系，体现分级响应、区域联动的原则，与地方政府突发环境事件应急预案相衔接，明确分级响应程序。</w:t>
            </w:r>
          </w:p>
        </w:tc>
      </w:tr>
      <w:tr w14:paraId="56B73C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274" w:hRule="atLeast"/>
          <w:jc w:val="center"/>
        </w:trPr>
        <w:tc>
          <w:tcPr>
            <w:tcW w:w="1210" w:type="dxa"/>
            <w:vAlign w:val="center"/>
          </w:tcPr>
          <w:p w14:paraId="0C35A3B4">
            <w:pPr>
              <w:adjustRightInd w:val="0"/>
              <w:snapToGrid w:val="0"/>
              <w:spacing w:line="240" w:lineRule="auto"/>
              <w:jc w:val="center"/>
              <w:rPr>
                <w:color w:val="auto"/>
                <w:spacing w:val="-8"/>
                <w:sz w:val="24"/>
                <w:szCs w:val="24"/>
              </w:rPr>
            </w:pPr>
            <w:r>
              <w:rPr>
                <w:color w:val="auto"/>
                <w:spacing w:val="-8"/>
                <w:sz w:val="24"/>
                <w:szCs w:val="24"/>
              </w:rPr>
              <w:t>其他环境</w:t>
            </w:r>
          </w:p>
          <w:p w14:paraId="00D5F6AD">
            <w:pPr>
              <w:adjustRightInd w:val="0"/>
              <w:snapToGrid w:val="0"/>
              <w:spacing w:line="240" w:lineRule="auto"/>
              <w:jc w:val="center"/>
              <w:rPr>
                <w:color w:val="auto"/>
                <w:spacing w:val="-8"/>
                <w:sz w:val="24"/>
                <w:szCs w:val="24"/>
              </w:rPr>
            </w:pPr>
            <w:r>
              <w:rPr>
                <w:color w:val="auto"/>
                <w:spacing w:val="-8"/>
                <w:sz w:val="24"/>
                <w:szCs w:val="24"/>
              </w:rPr>
              <w:t>管理要求</w:t>
            </w:r>
          </w:p>
        </w:tc>
        <w:tc>
          <w:tcPr>
            <w:tcW w:w="7994" w:type="dxa"/>
            <w:gridSpan w:val="6"/>
            <w:vAlign w:val="center"/>
          </w:tcPr>
          <w:p w14:paraId="62760ED7">
            <w:pPr>
              <w:keepNext/>
              <w:keepLines/>
              <w:adjustRightInd w:val="0"/>
              <w:snapToGrid w:val="0"/>
              <w:spacing w:line="24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根据《排污许可管理条例》（国务院令 第7</w:t>
            </w:r>
            <w:r>
              <w:rPr>
                <w:rFonts w:ascii="Times New Roman" w:hAnsi="Times New Roman" w:eastAsia="宋体" w:cs="Times New Roman"/>
                <w:color w:val="auto"/>
                <w:sz w:val="24"/>
                <w:szCs w:val="24"/>
              </w:rPr>
              <w:t>36</w:t>
            </w:r>
            <w:r>
              <w:rPr>
                <w:rFonts w:hint="eastAsia" w:ascii="Times New Roman" w:hAnsi="Times New Roman" w:eastAsia="宋体" w:cs="Times New Roman"/>
                <w:color w:val="auto"/>
                <w:sz w:val="24"/>
                <w:szCs w:val="24"/>
              </w:rPr>
              <w:t>号）中第二条：“依照法律规定实行排污许可管理的企业事业单位和其他生产经营者（以下称排污单位），应当依照本条例规定申请取得排污许可证；未取得排污许可证的，不得排放污染物。”</w:t>
            </w:r>
          </w:p>
          <w:p w14:paraId="2B650CDC">
            <w:pPr>
              <w:keepNext/>
              <w:keepLines/>
              <w:adjustRightInd w:val="0"/>
              <w:snapToGrid w:val="0"/>
              <w:spacing w:line="240" w:lineRule="auto"/>
              <w:ind w:firstLine="480" w:firstLineChars="200"/>
              <w:rPr>
                <w:color w:val="auto"/>
                <w:sz w:val="24"/>
                <w:szCs w:val="24"/>
              </w:rPr>
            </w:pPr>
            <w:r>
              <w:rPr>
                <w:rFonts w:ascii="Times New Roman" w:hAnsi="Times New Roman" w:eastAsia="宋体" w:cs="Times New Roman"/>
                <w:color w:val="auto"/>
                <w:sz w:val="24"/>
                <w:szCs w:val="24"/>
              </w:rPr>
              <w:t>根据《固定污染源排</w:t>
            </w:r>
            <w:r>
              <w:rPr>
                <w:rFonts w:hint="eastAsia" w:ascii="Times New Roman" w:hAnsi="Times New Roman" w:eastAsia="宋体" w:cs="Times New Roman"/>
                <w:color w:val="auto"/>
                <w:sz w:val="24"/>
                <w:szCs w:val="24"/>
              </w:rPr>
              <w:t>污许</w:t>
            </w:r>
            <w:r>
              <w:rPr>
                <w:rFonts w:ascii="Times New Roman" w:hAnsi="Times New Roman" w:eastAsia="宋体" w:cs="Times New Roman"/>
                <w:color w:val="auto"/>
                <w:sz w:val="24"/>
                <w:szCs w:val="24"/>
              </w:rPr>
              <w:t>可证分类管理名录(2019年版)》（部令第11号），本项目属于“十二、纺织业17”中的“棉纺织及印染精加工171，毛纺织及染整精加工172，麻纺织及染整精加工173，丝绢纺织</w:t>
            </w:r>
            <w:r>
              <w:rPr>
                <w:color w:val="auto"/>
                <w:sz w:val="24"/>
                <w:szCs w:val="24"/>
              </w:rPr>
              <w:t>及印染精加工174，化纤织造及印染精加工175”中属于“有前处理、染色、印花、洗毛、麻脱胶、缫丝或者喷水织造工序的”，需进行重点管理</w:t>
            </w:r>
            <w:r>
              <w:rPr>
                <w:rFonts w:hint="eastAsia"/>
                <w:color w:val="auto"/>
                <w:sz w:val="24"/>
                <w:szCs w:val="24"/>
              </w:rPr>
              <w:t>。</w:t>
            </w:r>
          </w:p>
          <w:p w14:paraId="5EAB2EBC">
            <w:pPr>
              <w:keepNext/>
              <w:keepLines/>
              <w:adjustRightInd w:val="0"/>
              <w:snapToGrid w:val="0"/>
              <w:spacing w:line="240" w:lineRule="auto"/>
              <w:rPr>
                <w:color w:val="auto"/>
                <w:sz w:val="24"/>
                <w:szCs w:val="24"/>
              </w:rPr>
            </w:pPr>
            <w:r>
              <w:rPr>
                <w:rFonts w:hint="eastAsia"/>
                <w:color w:val="auto"/>
                <w:sz w:val="24"/>
                <w:szCs w:val="24"/>
              </w:rPr>
              <w:t>1、项目的建设应切实履行配套的环境保护设施与主体工程同时设计、同时施工、同时投产使用的“三同时”制度。</w:t>
            </w:r>
          </w:p>
          <w:p w14:paraId="682CCD54">
            <w:pPr>
              <w:keepNext/>
              <w:keepLines/>
              <w:adjustRightInd w:val="0"/>
              <w:snapToGrid w:val="0"/>
              <w:spacing w:line="240" w:lineRule="auto"/>
              <w:rPr>
                <w:color w:val="auto"/>
                <w:sz w:val="24"/>
                <w:szCs w:val="24"/>
              </w:rPr>
            </w:pPr>
            <w:r>
              <w:rPr>
                <w:rFonts w:hint="eastAsia"/>
                <w:color w:val="auto"/>
                <w:sz w:val="24"/>
                <w:szCs w:val="24"/>
              </w:rPr>
              <w:t>2、应按有关法规的要求，严格执行排污许可制度，根据《固定污染源排污许可分类管理名录》（2019年版）办理相关排污许可手续。</w:t>
            </w:r>
          </w:p>
          <w:p w14:paraId="19CE0EBF">
            <w:pPr>
              <w:keepNext/>
              <w:keepLines/>
              <w:adjustRightInd w:val="0"/>
              <w:snapToGrid w:val="0"/>
              <w:spacing w:line="240" w:lineRule="auto"/>
              <w:rPr>
                <w:color w:val="auto"/>
                <w:sz w:val="24"/>
                <w:szCs w:val="24"/>
              </w:rPr>
            </w:pPr>
            <w:r>
              <w:rPr>
                <w:rFonts w:hint="eastAsia"/>
                <w:color w:val="auto"/>
                <w:sz w:val="24"/>
                <w:szCs w:val="24"/>
              </w:rPr>
              <w:t>3、本项目配套建设的环境保护设施必须与主体工程同时建成和投产使用，并按规定程序实施竣工环境保护验收，验收合格方可投入生产。</w:t>
            </w:r>
          </w:p>
          <w:p w14:paraId="11187933">
            <w:pPr>
              <w:keepNext/>
              <w:keepLines/>
              <w:adjustRightInd w:val="0"/>
              <w:snapToGrid w:val="0"/>
              <w:spacing w:line="240" w:lineRule="auto"/>
              <w:rPr>
                <w:color w:val="auto"/>
                <w:sz w:val="24"/>
                <w:szCs w:val="24"/>
              </w:rPr>
            </w:pPr>
            <w:r>
              <w:rPr>
                <w:rFonts w:hint="eastAsia"/>
                <w:color w:val="auto"/>
                <w:sz w:val="24"/>
                <w:szCs w:val="24"/>
              </w:rPr>
              <w:t>4、项目的性质、规模、地点、采用的生产工艺或者防治污染、防止生态破坏的措施发生重大变动的应当重新报批环境影响报告表。自环评批复之日起超过5年，方决定项目开工建设的，其环境影响报告表应重新报批。</w:t>
            </w:r>
          </w:p>
          <w:p w14:paraId="72EE5BC3">
            <w:pPr>
              <w:keepNext/>
              <w:keepLines/>
              <w:adjustRightInd w:val="0"/>
              <w:snapToGrid w:val="0"/>
              <w:spacing w:line="240" w:lineRule="auto"/>
              <w:rPr>
                <w:color w:val="auto"/>
                <w:sz w:val="24"/>
                <w:szCs w:val="24"/>
              </w:rPr>
            </w:pPr>
            <w:r>
              <w:rPr>
                <w:rFonts w:hint="eastAsia"/>
                <w:color w:val="auto"/>
                <w:sz w:val="24"/>
                <w:szCs w:val="24"/>
              </w:rPr>
              <w:t>5、企业应根据《关于做好生态环境和应急管理部门联动工作的意见》（苏环办[2020]101号），开展环保设施安全风险辨识，健全内部污染防治设施稳定运行和管理责任制度，严格依据标准规范建设环境治理设施，确保环境治理设施安全、稳定、有效运行。</w:t>
            </w:r>
          </w:p>
          <w:p w14:paraId="3D43378F">
            <w:pPr>
              <w:keepNext/>
              <w:keepLines/>
              <w:adjustRightInd w:val="0"/>
              <w:snapToGrid w:val="0"/>
              <w:spacing w:line="240" w:lineRule="auto"/>
              <w:ind w:firstLine="480" w:firstLineChars="200"/>
              <w:rPr>
                <w:color w:val="auto"/>
                <w:sz w:val="24"/>
                <w:szCs w:val="24"/>
              </w:rPr>
            </w:pPr>
          </w:p>
        </w:tc>
      </w:tr>
    </w:tbl>
    <w:p w14:paraId="38FC1E22">
      <w:pPr>
        <w:pStyle w:val="21"/>
        <w:jc w:val="center"/>
        <w:outlineLvl w:val="0"/>
        <w:rPr>
          <w:rFonts w:ascii="Times New Roman" w:hAnsi="Times New Roman" w:eastAsia="黑体"/>
          <w:snapToGrid w:val="0"/>
          <w:color w:val="auto"/>
          <w:sz w:val="30"/>
          <w:szCs w:val="30"/>
        </w:rPr>
      </w:pPr>
    </w:p>
    <w:p w14:paraId="1688B91A">
      <w:pPr>
        <w:pStyle w:val="21"/>
        <w:jc w:val="center"/>
        <w:outlineLvl w:val="0"/>
        <w:rPr>
          <w:rFonts w:ascii="Times New Roman" w:hAnsi="Times New Roman" w:eastAsia="黑体"/>
          <w:snapToGrid w:val="0"/>
          <w:color w:val="auto"/>
          <w:sz w:val="30"/>
          <w:szCs w:val="30"/>
        </w:rPr>
        <w:sectPr>
          <w:headerReference r:id="rId9" w:type="default"/>
          <w:footerReference r:id="rId10" w:type="default"/>
          <w:pgSz w:w="11906" w:h="16838"/>
          <w:pgMar w:top="1083" w:right="1800" w:bottom="1083" w:left="1800" w:header="851" w:footer="992" w:gutter="0"/>
          <w:pgBorders>
            <w:top w:val="none" w:sz="0" w:space="0"/>
            <w:left w:val="none" w:sz="0" w:space="0"/>
            <w:bottom w:val="none" w:sz="0" w:space="0"/>
            <w:right w:val="none" w:sz="0" w:space="0"/>
          </w:pgBorders>
          <w:cols w:space="720" w:num="1"/>
          <w:docGrid w:type="lines" w:linePitch="312" w:charSpace="0"/>
        </w:sectPr>
      </w:pPr>
    </w:p>
    <w:p w14:paraId="1631C7B4">
      <w:pPr>
        <w:pStyle w:val="21"/>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sz w:val="30"/>
          <w:szCs w:val="30"/>
        </w:rPr>
        <w:t>六、结论</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063622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14:paraId="0EC71325">
            <w:pPr>
              <w:ind w:firstLine="480" w:firstLineChars="200"/>
              <w:rPr>
                <w:color w:val="auto"/>
                <w:sz w:val="24"/>
              </w:rPr>
            </w:pPr>
            <w:r>
              <w:rPr>
                <w:rFonts w:hint="eastAsia"/>
                <w:color w:val="auto"/>
                <w:sz w:val="24"/>
                <w:szCs w:val="24"/>
              </w:rPr>
              <w:t>本项目符合国家及地方现行产业政策，地址选择符合用地规划要求；项目生产过程中产生的污染在采取有效的治理措施之后，对周围环境影响较小，不会改变当地环境质量现状；同时本项目对周边环境产生的影响较小，事故风险水平可被接受。因此，从环保的角度出发，该项目在坚持环保“三同时”原则并按照本报告中提出的各项环保措施治理后对环境影响是可接受的。</w:t>
            </w:r>
          </w:p>
        </w:tc>
      </w:tr>
    </w:tbl>
    <w:p w14:paraId="65CCA061">
      <w:pPr>
        <w:pStyle w:val="3"/>
        <w:numPr>
          <w:ilvl w:val="0"/>
          <w:numId w:val="0"/>
        </w:numPr>
        <w:jc w:val="center"/>
        <w:rPr>
          <w:color w:val="auto"/>
        </w:rPr>
        <w:sectPr>
          <w:footerReference r:id="rId11" w:type="default"/>
          <w:pgSz w:w="11906" w:h="16838"/>
          <w:pgMar w:top="1083" w:right="1800" w:bottom="1083" w:left="1800" w:header="851" w:footer="992" w:gutter="0"/>
          <w:pgBorders>
            <w:top w:val="none" w:sz="0" w:space="0"/>
            <w:left w:val="none" w:sz="0" w:space="0"/>
            <w:bottom w:val="none" w:sz="0" w:space="0"/>
            <w:right w:val="none" w:sz="0" w:space="0"/>
          </w:pgBorders>
          <w:cols w:space="720" w:num="1"/>
          <w:docGrid w:type="lines" w:linePitch="312" w:charSpace="0"/>
        </w:sectPr>
      </w:pPr>
    </w:p>
    <w:p w14:paraId="68E94BA2">
      <w:pPr>
        <w:pStyle w:val="3"/>
        <w:numPr>
          <w:ilvl w:val="0"/>
          <w:numId w:val="0"/>
        </w:numPr>
        <w:spacing w:line="240" w:lineRule="auto"/>
        <w:rPr>
          <w:color w:val="auto"/>
          <w:sz w:val="24"/>
          <w:szCs w:val="24"/>
        </w:rPr>
      </w:pPr>
      <w:bookmarkStart w:id="3" w:name="_GoBack"/>
      <w:bookmarkEnd w:id="3"/>
    </w:p>
    <w:sectPr>
      <w:footerReference r:id="rId12" w:type="default"/>
      <w:pgSz w:w="16838" w:h="11906" w:orient="landscape"/>
      <w:pgMar w:top="1800" w:right="1083" w:bottom="1800" w:left="1083"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C20422-4089-4C9B-A91A-F60BB236C3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6A4CCFAF-D435-4577-B3D4-3907D21E4E03}"/>
  </w:font>
  <w:font w:name="Arial Black">
    <w:panose1 w:val="020B0A04020102020204"/>
    <w:charset w:val="00"/>
    <w:family w:val="swiss"/>
    <w:pitch w:val="default"/>
    <w:sig w:usb0="A00002AF" w:usb1="400078FB" w:usb2="00000000" w:usb3="00000000" w:csb0="6000009F" w:csb1="DFD70000"/>
  </w:font>
  <w:font w:name="T">
    <w:altName w:val="Calibri"/>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embedRegular r:id="rId3" w:fontKey="{BEE29171-5E98-4546-8FB6-0D4673C5ECEF}"/>
  </w:font>
  <w:font w:name="Arial Unicode MS">
    <w:panose1 w:val="020B0604020202020204"/>
    <w:charset w:val="86"/>
    <w:family w:val="swiss"/>
    <w:pitch w:val="default"/>
    <w:sig w:usb0="F7FFAEFF" w:usb1="F9DFFFFF" w:usb2="0000007F" w:usb3="00000000" w:csb0="203F01FF" w:csb1="DFFF0000"/>
  </w:font>
  <w:font w:name="仿宋体">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4" w:fontKey="{BE0974FF-1DB1-4692-87AD-A01E366EA259}"/>
  </w:font>
  <w:font w:name="方正小标宋_GBK">
    <w:panose1 w:val="03000509000000000000"/>
    <w:charset w:val="86"/>
    <w:family w:val="script"/>
    <w:pitch w:val="default"/>
    <w:sig w:usb0="00000001" w:usb1="080E0000" w:usb2="00000000" w:usb3="00000000" w:csb0="00040000" w:csb1="00000000"/>
    <w:embedRegular r:id="rId5" w:fontKey="{E0347E47-6BEB-4FC1-884F-85CE791507C8}"/>
  </w:font>
  <w:font w:name="Wingdings 2">
    <w:panose1 w:val="05020102010507070707"/>
    <w:charset w:val="02"/>
    <w:family w:val="roman"/>
    <w:pitch w:val="default"/>
    <w:sig w:usb0="00000000" w:usb1="00000000" w:usb2="00000000" w:usb3="00000000" w:csb0="80000000" w:csb1="00000000"/>
    <w:embedRegular r:id="rId6" w:fontKey="{E395D92A-94C8-4A88-9303-D8F7CA4206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1884A">
    <w:pPr>
      <w:pStyle w:val="16"/>
      <w:ind w:right="360"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D1128">
                          <w:pPr>
                            <w:pStyle w:val="1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00D1128">
                    <w:pPr>
                      <w:pStyle w:val="16"/>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0EEA4">
    <w:pPr>
      <w:pStyle w:val="16"/>
      <w:framePr w:wrap="around" w:vAnchor="text" w:hAnchor="margin" w:xAlign="center" w:y="1"/>
      <w:rPr>
        <w:rStyle w:val="30"/>
      </w:rPr>
    </w:pPr>
    <w:r>
      <w:fldChar w:fldCharType="begin"/>
    </w:r>
    <w:r>
      <w:rPr>
        <w:rStyle w:val="30"/>
      </w:rPr>
      <w:instrText xml:space="preserve">PAGE  </w:instrText>
    </w:r>
    <w:r>
      <w:fldChar w:fldCharType="end"/>
    </w:r>
  </w:p>
  <w:p w14:paraId="379FDCF9">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AC52">
    <w:pPr>
      <w:pStyle w:val="16"/>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8F40C">
                          <w:pPr>
                            <w:pStyle w:val="16"/>
                            <w:jc w:val="both"/>
                          </w:pPr>
                          <w:r>
                            <w:t xml:space="preserve">— </w:t>
                          </w:r>
                          <w:r>
                            <w:rPr>
                              <w:sz w:val="20"/>
                            </w:rPr>
                            <w:fldChar w:fldCharType="begin"/>
                          </w:r>
                          <w:r>
                            <w:rPr>
                              <w:sz w:val="20"/>
                            </w:rPr>
                            <w:instrText xml:space="preserve"> PAGE  \* MERGEFORMAT </w:instrText>
                          </w:r>
                          <w:r>
                            <w:rPr>
                              <w:sz w:val="20"/>
                            </w:rPr>
                            <w:fldChar w:fldCharType="separate"/>
                          </w:r>
                          <w:r>
                            <w:rPr>
                              <w:sz w:val="20"/>
                            </w:rPr>
                            <w:t>3</w:t>
                          </w:r>
                          <w:r>
                            <w:rPr>
                              <w:sz w:val="20"/>
                            </w:rPr>
                            <w:fldChar w:fldCharType="end"/>
                          </w:r>
                          <w:r>
                            <w:rPr>
                              <w:sz w:val="24"/>
                              <w:szCs w:val="24"/>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1258F40C">
                    <w:pPr>
                      <w:pStyle w:val="16"/>
                      <w:jc w:val="both"/>
                    </w:pPr>
                    <w:r>
                      <w:t xml:space="preserve">— </w:t>
                    </w:r>
                    <w:r>
                      <w:rPr>
                        <w:sz w:val="20"/>
                      </w:rPr>
                      <w:fldChar w:fldCharType="begin"/>
                    </w:r>
                    <w:r>
                      <w:rPr>
                        <w:sz w:val="20"/>
                      </w:rPr>
                      <w:instrText xml:space="preserve"> PAGE  \* MERGEFORMAT </w:instrText>
                    </w:r>
                    <w:r>
                      <w:rPr>
                        <w:sz w:val="20"/>
                      </w:rPr>
                      <w:fldChar w:fldCharType="separate"/>
                    </w:r>
                    <w:r>
                      <w:rPr>
                        <w:sz w:val="20"/>
                      </w:rPr>
                      <w:t>3</w:t>
                    </w:r>
                    <w:r>
                      <w:rPr>
                        <w:sz w:val="20"/>
                      </w:rPr>
                      <w:fldChar w:fldCharType="end"/>
                    </w:r>
                    <w:r>
                      <w:rPr>
                        <w:sz w:val="24"/>
                        <w:szCs w:val="24"/>
                      </w:rPr>
                      <w:t xml:space="preserve"> </w:t>
                    </w:r>
                    <w: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5A06A">
    <w:pPr>
      <w:pStyle w:val="16"/>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69443">
                          <w:pPr>
                            <w:pStyle w:val="16"/>
                          </w:pPr>
                          <w: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48</w:t>
                          </w:r>
                          <w:r>
                            <w:rPr>
                              <w:sz w:val="21"/>
                              <w:szCs w:val="21"/>
                            </w:rPr>
                            <w:fldChar w:fldCharType="end"/>
                          </w:r>
                          <w:r>
                            <w:rPr>
                              <w:sz w:val="21"/>
                              <w:szCs w:val="21"/>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9969443">
                    <w:pPr>
                      <w:pStyle w:val="16"/>
                    </w:pPr>
                    <w: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48</w:t>
                    </w:r>
                    <w:r>
                      <w:rPr>
                        <w:sz w:val="21"/>
                        <w:szCs w:val="21"/>
                      </w:rPr>
                      <w:fldChar w:fldCharType="end"/>
                    </w:r>
                    <w:r>
                      <w:rPr>
                        <w:sz w:val="21"/>
                        <w:szCs w:val="21"/>
                      </w:rPr>
                      <w:t xml:space="preserve"> </w:t>
                    </w:r>
                    <w: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E3C32">
    <w:pPr>
      <w:pStyle w:val="16"/>
      <w:ind w:right="360"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4" name="文本框 3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756A78">
                          <w:pPr>
                            <w:pStyle w:val="16"/>
                            <w:rPr>
                              <w:rStyle w:val="30"/>
                              <w:sz w:val="21"/>
                              <w:szCs w:val="21"/>
                            </w:rPr>
                          </w:pPr>
                          <w:r>
                            <w:rPr>
                              <w:rStyle w:val="30"/>
                              <w:sz w:val="21"/>
                              <w:szCs w:val="21"/>
                            </w:rPr>
                            <w:t xml:space="preserve">—  </w:t>
                          </w:r>
                          <w:r>
                            <w:rPr>
                              <w:sz w:val="21"/>
                              <w:szCs w:val="21"/>
                            </w:rPr>
                            <w:fldChar w:fldCharType="begin"/>
                          </w:r>
                          <w:r>
                            <w:rPr>
                              <w:rStyle w:val="30"/>
                              <w:sz w:val="21"/>
                              <w:szCs w:val="21"/>
                            </w:rPr>
                            <w:instrText xml:space="preserve">PAGE  </w:instrText>
                          </w:r>
                          <w:r>
                            <w:rPr>
                              <w:sz w:val="21"/>
                              <w:szCs w:val="21"/>
                            </w:rPr>
                            <w:fldChar w:fldCharType="separate"/>
                          </w:r>
                          <w:r>
                            <w:rPr>
                              <w:rStyle w:val="30"/>
                              <w:sz w:val="21"/>
                              <w:szCs w:val="21"/>
                            </w:rPr>
                            <w:t>78</w:t>
                          </w:r>
                          <w:r>
                            <w:rPr>
                              <w:sz w:val="21"/>
                              <w:szCs w:val="21"/>
                            </w:rPr>
                            <w:fldChar w:fldCharType="end"/>
                          </w:r>
                          <w:r>
                            <w:rPr>
                              <w:rStyle w:val="30"/>
                              <w:sz w:val="21"/>
                              <w:szCs w:val="21"/>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gEZ1MQBAACRAwAADgAAAGRycy9lMm9Eb2MueG1srVPNjtMwEL4j8Q6W&#10;79TZglZV1HS1qFqEhABp4QFcx24s+U8et0lfAN6AExfuPFefg7GTdGG57GEvznhm/M1830zWN4M1&#10;5CgjaO8aerWoKJFO+Fa7fUO/frl7taIEEnctN97Jhp4k0JvNyxfrPtRy6TtvWhkJgjio+9DQLqVQ&#10;Mwaik5bDwgfpMKh8tDzhNe5ZG3mP6NawZVVds97HNkQvJAB6t2OQTojxKYBeKS3k1ouDlS6NqFEa&#10;npASdDoA3ZRulZIifVIKZCKmocg0lROLoL3LJ9useb2PPHRaTC3wp7TwiJPl2mHRC9SWJ04OUf8H&#10;ZbWIHrxKC+EtG4kURZDFVfVIm/uOB1m4oNQQLqLD88GKj8fPkei2oa+v31DiuMWRn398P//8ff71&#10;jWQnStQHqDHzPmBuGt76ARdn9gM6M/NBRZu/yIlgHAU+XQSWQyIiP1otV6sKQwJj8wXx2cPzECG9&#10;k96SbDQ04gSLsPz4AdKYOqfkas7faWPKFI37x4GY2cNy72OP2UrDbpgI7Xx7Qj49Dr+hDnedEvPe&#10;obZ5T2YjzsZuMnINCLeHhIVLPxl1hJqK4aQKo2mr8ir8fS9ZD3/S5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UgEZ1MQBAACRAwAADgAAAAAAAAABACAAAAAeAQAAZHJzL2Uyb0RvYy54bWxQ&#10;SwUGAAAAAAYABgBZAQAAVAUAAAAA&#10;">
              <v:fill on="f" focussize="0,0"/>
              <v:stroke on="f"/>
              <v:imagedata o:title=""/>
              <o:lock v:ext="edit" aspectratio="f"/>
              <v:textbox inset="0mm,0mm,0mm,0mm" style="mso-fit-shape-to-text:t;">
                <w:txbxContent>
                  <w:p w14:paraId="28756A78">
                    <w:pPr>
                      <w:pStyle w:val="16"/>
                      <w:rPr>
                        <w:rStyle w:val="30"/>
                        <w:sz w:val="21"/>
                        <w:szCs w:val="21"/>
                      </w:rPr>
                    </w:pPr>
                    <w:r>
                      <w:rPr>
                        <w:rStyle w:val="30"/>
                        <w:sz w:val="21"/>
                        <w:szCs w:val="21"/>
                      </w:rPr>
                      <w:t xml:space="preserve">—  </w:t>
                    </w:r>
                    <w:r>
                      <w:rPr>
                        <w:sz w:val="21"/>
                        <w:szCs w:val="21"/>
                      </w:rPr>
                      <w:fldChar w:fldCharType="begin"/>
                    </w:r>
                    <w:r>
                      <w:rPr>
                        <w:rStyle w:val="30"/>
                        <w:sz w:val="21"/>
                        <w:szCs w:val="21"/>
                      </w:rPr>
                      <w:instrText xml:space="preserve">PAGE  </w:instrText>
                    </w:r>
                    <w:r>
                      <w:rPr>
                        <w:sz w:val="21"/>
                        <w:szCs w:val="21"/>
                      </w:rPr>
                      <w:fldChar w:fldCharType="separate"/>
                    </w:r>
                    <w:r>
                      <w:rPr>
                        <w:rStyle w:val="30"/>
                        <w:sz w:val="21"/>
                        <w:szCs w:val="21"/>
                      </w:rPr>
                      <w:t>78</w:t>
                    </w:r>
                    <w:r>
                      <w:rPr>
                        <w:sz w:val="21"/>
                        <w:szCs w:val="21"/>
                      </w:rPr>
                      <w:fldChar w:fldCharType="end"/>
                    </w:r>
                    <w:r>
                      <w:rPr>
                        <w:rStyle w:val="30"/>
                        <w:sz w:val="21"/>
                        <w:szCs w:val="21"/>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B304D">
    <w:pPr>
      <w:pStyle w:val="16"/>
      <w:ind w:right="360" w:firstLine="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640DF">
    <w:pPr>
      <w:pStyle w:val="1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8E01B">
    <w:pPr>
      <w:pStyle w:val="1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DBA1D5"/>
    <w:multiLevelType w:val="singleLevel"/>
    <w:tmpl w:val="9DDBA1D5"/>
    <w:lvl w:ilvl="0" w:tentative="0">
      <w:start w:val="4"/>
      <w:numFmt w:val="decimal"/>
      <w:suff w:val="nothing"/>
      <w:lvlText w:val="（%1）"/>
      <w:lvlJc w:val="left"/>
    </w:lvl>
  </w:abstractNum>
  <w:abstractNum w:abstractNumId="1">
    <w:nsid w:val="D491EFF7"/>
    <w:multiLevelType w:val="singleLevel"/>
    <w:tmpl w:val="D491EFF7"/>
    <w:lvl w:ilvl="0" w:tentative="0">
      <w:start w:val="1"/>
      <w:numFmt w:val="bullet"/>
      <w:pStyle w:val="3"/>
      <w:lvlText w:val=""/>
      <w:lvlJc w:val="left"/>
      <w:pPr>
        <w:tabs>
          <w:tab w:val="left" w:pos="2040"/>
        </w:tabs>
        <w:ind w:left="2040" w:hanging="360"/>
      </w:pPr>
      <w:rPr>
        <w:rFonts w:hint="default" w:ascii="Wingdings" w:hAnsi="Wingdings"/>
      </w:rPr>
    </w:lvl>
  </w:abstractNum>
  <w:abstractNum w:abstractNumId="2">
    <w:nsid w:val="06B7EFA5"/>
    <w:multiLevelType w:val="multilevel"/>
    <w:tmpl w:val="06B7EFA5"/>
    <w:lvl w:ilvl="0" w:tentative="0">
      <w:start w:val="1"/>
      <w:numFmt w:val="decimal"/>
      <w:lvlText w:val="表%1"/>
      <w:lvlJc w:val="left"/>
      <w:pPr>
        <w:tabs>
          <w:tab w:val="left" w:pos="420"/>
        </w:tabs>
        <w:ind w:left="432" w:hanging="432"/>
      </w:pPr>
      <w:rPr>
        <w:rFonts w:hint="default" w:ascii="Times New Roman" w:hAnsi="Times New Roman" w:eastAsia="宋体" w:cs="宋体"/>
        <w:b/>
        <w:sz w:val="28"/>
        <w:szCs w:val="28"/>
      </w:rPr>
    </w:lvl>
    <w:lvl w:ilvl="1" w:tentative="0">
      <w:start w:val="1"/>
      <w:numFmt w:val="decimal"/>
      <w:pStyle w:val="5"/>
      <w:suff w:val="nothing"/>
      <w:lvlText w:val="表%1-%2"/>
      <w:lvlJc w:val="left"/>
      <w:pPr>
        <w:tabs>
          <w:tab w:val="left" w:pos="420"/>
        </w:tabs>
        <w:ind w:left="0" w:firstLine="0"/>
      </w:pPr>
      <w:rPr>
        <w:rFonts w:hint="default" w:ascii="Times New Roman" w:hAnsi="Times New Roman" w:eastAsia="宋体" w:cs="宋体"/>
        <w:sz w:val="24"/>
        <w:szCs w:val="24"/>
      </w:rPr>
    </w:lvl>
    <w:lvl w:ilvl="2" w:tentative="0">
      <w:start w:val="1"/>
      <w:numFmt w:val="decimal"/>
      <w:isLgl/>
      <w:lvlText w:val="%1.%2.%3."/>
      <w:lvlJc w:val="left"/>
      <w:pPr>
        <w:tabs>
          <w:tab w:val="left" w:pos="420"/>
        </w:tabs>
        <w:ind w:left="720" w:hanging="720"/>
      </w:pPr>
      <w:rPr>
        <w:rFonts w:hint="default" w:ascii="Times New Roman" w:hAnsi="Times New Roman" w:eastAsia="宋体" w:cs="宋体"/>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210"/>
  <w:drawingGridVerticalSpacing w:val="16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5NmYxNWY5MjQzMzM3Y2I5MjFkZTQxZjJlZWFmODAifQ=="/>
  </w:docVars>
  <w:rsids>
    <w:rsidRoot w:val="498B18F3"/>
    <w:rsid w:val="000159B6"/>
    <w:rsid w:val="00052D99"/>
    <w:rsid w:val="00053AB6"/>
    <w:rsid w:val="00076791"/>
    <w:rsid w:val="0008155C"/>
    <w:rsid w:val="000A6C2A"/>
    <w:rsid w:val="000F489A"/>
    <w:rsid w:val="0011401C"/>
    <w:rsid w:val="0012490A"/>
    <w:rsid w:val="00125E76"/>
    <w:rsid w:val="00156208"/>
    <w:rsid w:val="001564F4"/>
    <w:rsid w:val="00156D55"/>
    <w:rsid w:val="001C1030"/>
    <w:rsid w:val="001D707A"/>
    <w:rsid w:val="00257BCA"/>
    <w:rsid w:val="00271A19"/>
    <w:rsid w:val="002A39D2"/>
    <w:rsid w:val="002C2718"/>
    <w:rsid w:val="002E3ABC"/>
    <w:rsid w:val="003004BE"/>
    <w:rsid w:val="0034460F"/>
    <w:rsid w:val="003657B6"/>
    <w:rsid w:val="00366077"/>
    <w:rsid w:val="003A7F44"/>
    <w:rsid w:val="003D0D57"/>
    <w:rsid w:val="00423C6D"/>
    <w:rsid w:val="00476CDA"/>
    <w:rsid w:val="004A3FBA"/>
    <w:rsid w:val="005240FD"/>
    <w:rsid w:val="00525FAD"/>
    <w:rsid w:val="00535F2E"/>
    <w:rsid w:val="00587B32"/>
    <w:rsid w:val="00595E6E"/>
    <w:rsid w:val="00597DDE"/>
    <w:rsid w:val="005A7A3B"/>
    <w:rsid w:val="005D6205"/>
    <w:rsid w:val="00603D4B"/>
    <w:rsid w:val="00605E11"/>
    <w:rsid w:val="0062332D"/>
    <w:rsid w:val="00642FC3"/>
    <w:rsid w:val="0064402B"/>
    <w:rsid w:val="0066013E"/>
    <w:rsid w:val="00662710"/>
    <w:rsid w:val="0067722F"/>
    <w:rsid w:val="006B0C8A"/>
    <w:rsid w:val="006C189E"/>
    <w:rsid w:val="006C7947"/>
    <w:rsid w:val="006D7E02"/>
    <w:rsid w:val="006F5C28"/>
    <w:rsid w:val="00733FE3"/>
    <w:rsid w:val="007342F9"/>
    <w:rsid w:val="0074007B"/>
    <w:rsid w:val="0078753A"/>
    <w:rsid w:val="007E05BD"/>
    <w:rsid w:val="008561D5"/>
    <w:rsid w:val="0086735E"/>
    <w:rsid w:val="008C7278"/>
    <w:rsid w:val="008D3E7E"/>
    <w:rsid w:val="008E6702"/>
    <w:rsid w:val="00926D74"/>
    <w:rsid w:val="0096521C"/>
    <w:rsid w:val="009B405E"/>
    <w:rsid w:val="009B59DA"/>
    <w:rsid w:val="009D71D2"/>
    <w:rsid w:val="009E4A97"/>
    <w:rsid w:val="009E7763"/>
    <w:rsid w:val="00A0518E"/>
    <w:rsid w:val="00A20B10"/>
    <w:rsid w:val="00A26C74"/>
    <w:rsid w:val="00A91079"/>
    <w:rsid w:val="00AA5343"/>
    <w:rsid w:val="00AB5AA7"/>
    <w:rsid w:val="00AC3E52"/>
    <w:rsid w:val="00B01194"/>
    <w:rsid w:val="00B3417E"/>
    <w:rsid w:val="00B459E0"/>
    <w:rsid w:val="00B54372"/>
    <w:rsid w:val="00B6296F"/>
    <w:rsid w:val="00B70132"/>
    <w:rsid w:val="00B967F3"/>
    <w:rsid w:val="00BB03FF"/>
    <w:rsid w:val="00BD54E3"/>
    <w:rsid w:val="00C03860"/>
    <w:rsid w:val="00C07C54"/>
    <w:rsid w:val="00C17F3E"/>
    <w:rsid w:val="00C206AE"/>
    <w:rsid w:val="00C26DF4"/>
    <w:rsid w:val="00C41B17"/>
    <w:rsid w:val="00C7172B"/>
    <w:rsid w:val="00CB2B6E"/>
    <w:rsid w:val="00CB7E6E"/>
    <w:rsid w:val="00CC74F9"/>
    <w:rsid w:val="00D01F95"/>
    <w:rsid w:val="00D308E7"/>
    <w:rsid w:val="00D360FF"/>
    <w:rsid w:val="00D45546"/>
    <w:rsid w:val="00DB2752"/>
    <w:rsid w:val="00DB3E6C"/>
    <w:rsid w:val="00DE7CF4"/>
    <w:rsid w:val="00E05E32"/>
    <w:rsid w:val="00E2783E"/>
    <w:rsid w:val="00E4736B"/>
    <w:rsid w:val="00E47A0E"/>
    <w:rsid w:val="00E54038"/>
    <w:rsid w:val="00E66D3E"/>
    <w:rsid w:val="00E67E75"/>
    <w:rsid w:val="00E73CB1"/>
    <w:rsid w:val="00E81EFA"/>
    <w:rsid w:val="00ED795A"/>
    <w:rsid w:val="00EE47D0"/>
    <w:rsid w:val="00EE5489"/>
    <w:rsid w:val="00F30251"/>
    <w:rsid w:val="00F53DE2"/>
    <w:rsid w:val="00F6791C"/>
    <w:rsid w:val="00F87D07"/>
    <w:rsid w:val="00FE2450"/>
    <w:rsid w:val="01035A29"/>
    <w:rsid w:val="010613AE"/>
    <w:rsid w:val="01570FC8"/>
    <w:rsid w:val="017D69F5"/>
    <w:rsid w:val="01867235"/>
    <w:rsid w:val="018C3955"/>
    <w:rsid w:val="01AB2F52"/>
    <w:rsid w:val="01BF2ECA"/>
    <w:rsid w:val="01D0771E"/>
    <w:rsid w:val="02806EB7"/>
    <w:rsid w:val="02964B6A"/>
    <w:rsid w:val="02DF39F5"/>
    <w:rsid w:val="03136459"/>
    <w:rsid w:val="031B2C7F"/>
    <w:rsid w:val="03920A67"/>
    <w:rsid w:val="03DE4B75"/>
    <w:rsid w:val="03EC63FF"/>
    <w:rsid w:val="03FA6D38"/>
    <w:rsid w:val="03FC3846"/>
    <w:rsid w:val="04161C22"/>
    <w:rsid w:val="04C21E74"/>
    <w:rsid w:val="0557339A"/>
    <w:rsid w:val="055B3C97"/>
    <w:rsid w:val="055C5ECB"/>
    <w:rsid w:val="05654685"/>
    <w:rsid w:val="05693DC6"/>
    <w:rsid w:val="05836C6D"/>
    <w:rsid w:val="05944DA5"/>
    <w:rsid w:val="059D5FC8"/>
    <w:rsid w:val="05C97C57"/>
    <w:rsid w:val="05D2028F"/>
    <w:rsid w:val="05F431D1"/>
    <w:rsid w:val="0604098A"/>
    <w:rsid w:val="06475B39"/>
    <w:rsid w:val="06856661"/>
    <w:rsid w:val="07005701"/>
    <w:rsid w:val="07B115DD"/>
    <w:rsid w:val="07E81525"/>
    <w:rsid w:val="07FA0F80"/>
    <w:rsid w:val="081A4FDF"/>
    <w:rsid w:val="08223D10"/>
    <w:rsid w:val="08420CAE"/>
    <w:rsid w:val="084F33CB"/>
    <w:rsid w:val="08533465"/>
    <w:rsid w:val="08622AD4"/>
    <w:rsid w:val="089D4136"/>
    <w:rsid w:val="08AE5241"/>
    <w:rsid w:val="08B65B9A"/>
    <w:rsid w:val="08BC3CA1"/>
    <w:rsid w:val="08BD20E2"/>
    <w:rsid w:val="08C40A10"/>
    <w:rsid w:val="08C47915"/>
    <w:rsid w:val="08D52DF5"/>
    <w:rsid w:val="092C3A18"/>
    <w:rsid w:val="09594501"/>
    <w:rsid w:val="09627775"/>
    <w:rsid w:val="097C041A"/>
    <w:rsid w:val="09806177"/>
    <w:rsid w:val="09A3577C"/>
    <w:rsid w:val="09A57411"/>
    <w:rsid w:val="0A081A83"/>
    <w:rsid w:val="0A1421D6"/>
    <w:rsid w:val="0A497EE5"/>
    <w:rsid w:val="0A757F83"/>
    <w:rsid w:val="0A826929"/>
    <w:rsid w:val="0A9A0F48"/>
    <w:rsid w:val="0ADD2F10"/>
    <w:rsid w:val="0AEE4620"/>
    <w:rsid w:val="0AF43903"/>
    <w:rsid w:val="0AFB5144"/>
    <w:rsid w:val="0B3B2B0D"/>
    <w:rsid w:val="0C1922A5"/>
    <w:rsid w:val="0C763AB9"/>
    <w:rsid w:val="0CB06204"/>
    <w:rsid w:val="0CC520B8"/>
    <w:rsid w:val="0D2145A0"/>
    <w:rsid w:val="0D307505"/>
    <w:rsid w:val="0D3A7B58"/>
    <w:rsid w:val="0D4234FE"/>
    <w:rsid w:val="0D446929"/>
    <w:rsid w:val="0D726C46"/>
    <w:rsid w:val="0DD71E98"/>
    <w:rsid w:val="0DE95FB3"/>
    <w:rsid w:val="0E077174"/>
    <w:rsid w:val="0E2D7D0A"/>
    <w:rsid w:val="0E492C4F"/>
    <w:rsid w:val="0E543DF2"/>
    <w:rsid w:val="0E9D7E6D"/>
    <w:rsid w:val="0F387569"/>
    <w:rsid w:val="0F5F2CD3"/>
    <w:rsid w:val="0F8F0FD0"/>
    <w:rsid w:val="0FA62B5E"/>
    <w:rsid w:val="10C47E49"/>
    <w:rsid w:val="11034D52"/>
    <w:rsid w:val="110447CC"/>
    <w:rsid w:val="110F154A"/>
    <w:rsid w:val="1145606F"/>
    <w:rsid w:val="119500A0"/>
    <w:rsid w:val="11DE02FB"/>
    <w:rsid w:val="11E20E0C"/>
    <w:rsid w:val="122B033A"/>
    <w:rsid w:val="128C41E5"/>
    <w:rsid w:val="12A04150"/>
    <w:rsid w:val="12A22D09"/>
    <w:rsid w:val="12EA53EB"/>
    <w:rsid w:val="133C549C"/>
    <w:rsid w:val="1343245A"/>
    <w:rsid w:val="13551522"/>
    <w:rsid w:val="137220F3"/>
    <w:rsid w:val="13784273"/>
    <w:rsid w:val="13B83CFB"/>
    <w:rsid w:val="13ED3ECF"/>
    <w:rsid w:val="140E544C"/>
    <w:rsid w:val="1420115E"/>
    <w:rsid w:val="1420419D"/>
    <w:rsid w:val="14665D24"/>
    <w:rsid w:val="14830684"/>
    <w:rsid w:val="14BC5E4B"/>
    <w:rsid w:val="14BF04A1"/>
    <w:rsid w:val="153613FF"/>
    <w:rsid w:val="153F44B3"/>
    <w:rsid w:val="155F11DF"/>
    <w:rsid w:val="15B8610B"/>
    <w:rsid w:val="15B94A0F"/>
    <w:rsid w:val="15BF393E"/>
    <w:rsid w:val="15D21732"/>
    <w:rsid w:val="1635775C"/>
    <w:rsid w:val="166208F3"/>
    <w:rsid w:val="167969DD"/>
    <w:rsid w:val="167E3E6E"/>
    <w:rsid w:val="16A840DB"/>
    <w:rsid w:val="16BF796D"/>
    <w:rsid w:val="16C16DD4"/>
    <w:rsid w:val="16E03EB6"/>
    <w:rsid w:val="16F152D0"/>
    <w:rsid w:val="16F77107"/>
    <w:rsid w:val="170254C0"/>
    <w:rsid w:val="1702724C"/>
    <w:rsid w:val="170712EC"/>
    <w:rsid w:val="17714C7D"/>
    <w:rsid w:val="17716EB9"/>
    <w:rsid w:val="177B5D68"/>
    <w:rsid w:val="17870992"/>
    <w:rsid w:val="17FD6265"/>
    <w:rsid w:val="183821E2"/>
    <w:rsid w:val="18593A0A"/>
    <w:rsid w:val="18932754"/>
    <w:rsid w:val="189C5D59"/>
    <w:rsid w:val="18A20923"/>
    <w:rsid w:val="18F5182E"/>
    <w:rsid w:val="19094ED0"/>
    <w:rsid w:val="190A06E1"/>
    <w:rsid w:val="190B1D50"/>
    <w:rsid w:val="191132CF"/>
    <w:rsid w:val="19113792"/>
    <w:rsid w:val="19475C01"/>
    <w:rsid w:val="1954499D"/>
    <w:rsid w:val="19661BF1"/>
    <w:rsid w:val="197131A1"/>
    <w:rsid w:val="19724072"/>
    <w:rsid w:val="1A2D13C0"/>
    <w:rsid w:val="1A620757"/>
    <w:rsid w:val="1A74090B"/>
    <w:rsid w:val="1AA810C8"/>
    <w:rsid w:val="1AA94BBC"/>
    <w:rsid w:val="1ABE2E1F"/>
    <w:rsid w:val="1AF138C3"/>
    <w:rsid w:val="1B045552"/>
    <w:rsid w:val="1B271224"/>
    <w:rsid w:val="1B38452B"/>
    <w:rsid w:val="1B9C6460"/>
    <w:rsid w:val="1BE51C24"/>
    <w:rsid w:val="1C025334"/>
    <w:rsid w:val="1C247F83"/>
    <w:rsid w:val="1C4B5298"/>
    <w:rsid w:val="1C4F2A0E"/>
    <w:rsid w:val="1C874A89"/>
    <w:rsid w:val="1CAD765E"/>
    <w:rsid w:val="1CCC72C5"/>
    <w:rsid w:val="1CCD20B8"/>
    <w:rsid w:val="1D37200B"/>
    <w:rsid w:val="1D4433C0"/>
    <w:rsid w:val="1D622344"/>
    <w:rsid w:val="1D6B0F5B"/>
    <w:rsid w:val="1D6F406F"/>
    <w:rsid w:val="1D7019C1"/>
    <w:rsid w:val="1D9508C5"/>
    <w:rsid w:val="1DA358F3"/>
    <w:rsid w:val="1DB8112C"/>
    <w:rsid w:val="1E553655"/>
    <w:rsid w:val="1EAA4A5F"/>
    <w:rsid w:val="1EC026D9"/>
    <w:rsid w:val="1EC43D73"/>
    <w:rsid w:val="1EC65D3D"/>
    <w:rsid w:val="1F003B9F"/>
    <w:rsid w:val="1F0959E6"/>
    <w:rsid w:val="1F6A27B9"/>
    <w:rsid w:val="1F784E52"/>
    <w:rsid w:val="1F903C55"/>
    <w:rsid w:val="1FC67B22"/>
    <w:rsid w:val="201E3957"/>
    <w:rsid w:val="20445384"/>
    <w:rsid w:val="20455794"/>
    <w:rsid w:val="20582B99"/>
    <w:rsid w:val="206C021E"/>
    <w:rsid w:val="206F1016"/>
    <w:rsid w:val="20825C93"/>
    <w:rsid w:val="208D20FE"/>
    <w:rsid w:val="20CF4C51"/>
    <w:rsid w:val="20DE7E97"/>
    <w:rsid w:val="20ED5979"/>
    <w:rsid w:val="211E3870"/>
    <w:rsid w:val="21224D81"/>
    <w:rsid w:val="2127683B"/>
    <w:rsid w:val="213A696B"/>
    <w:rsid w:val="213E6D24"/>
    <w:rsid w:val="213F65FE"/>
    <w:rsid w:val="217139BF"/>
    <w:rsid w:val="217461C6"/>
    <w:rsid w:val="217E1DB6"/>
    <w:rsid w:val="21823A71"/>
    <w:rsid w:val="2185143F"/>
    <w:rsid w:val="218879A0"/>
    <w:rsid w:val="21920880"/>
    <w:rsid w:val="21B55BF5"/>
    <w:rsid w:val="21CF536C"/>
    <w:rsid w:val="226979A6"/>
    <w:rsid w:val="226D063F"/>
    <w:rsid w:val="22885DA6"/>
    <w:rsid w:val="22AB4DEF"/>
    <w:rsid w:val="22BC5CA8"/>
    <w:rsid w:val="22C320EF"/>
    <w:rsid w:val="22D96130"/>
    <w:rsid w:val="22F438FC"/>
    <w:rsid w:val="22FE72AA"/>
    <w:rsid w:val="23090E8E"/>
    <w:rsid w:val="2338708A"/>
    <w:rsid w:val="233C163A"/>
    <w:rsid w:val="238D18F2"/>
    <w:rsid w:val="238E79BF"/>
    <w:rsid w:val="23A128D5"/>
    <w:rsid w:val="23D762F6"/>
    <w:rsid w:val="241529BC"/>
    <w:rsid w:val="24664BFB"/>
    <w:rsid w:val="24C0764C"/>
    <w:rsid w:val="24C525F3"/>
    <w:rsid w:val="24F363FF"/>
    <w:rsid w:val="24F66C50"/>
    <w:rsid w:val="253D265B"/>
    <w:rsid w:val="25445C0D"/>
    <w:rsid w:val="25554DAF"/>
    <w:rsid w:val="256865DD"/>
    <w:rsid w:val="257858B7"/>
    <w:rsid w:val="25CB24A7"/>
    <w:rsid w:val="26003C90"/>
    <w:rsid w:val="26573321"/>
    <w:rsid w:val="265A0E7C"/>
    <w:rsid w:val="26606A77"/>
    <w:rsid w:val="267B575B"/>
    <w:rsid w:val="267D1197"/>
    <w:rsid w:val="268D7140"/>
    <w:rsid w:val="26E21511"/>
    <w:rsid w:val="27046A11"/>
    <w:rsid w:val="27A06A9D"/>
    <w:rsid w:val="284C7D86"/>
    <w:rsid w:val="2865717F"/>
    <w:rsid w:val="286B1703"/>
    <w:rsid w:val="288602EB"/>
    <w:rsid w:val="28BC68C6"/>
    <w:rsid w:val="28F26517"/>
    <w:rsid w:val="290C1B1A"/>
    <w:rsid w:val="29191B8B"/>
    <w:rsid w:val="29245EB1"/>
    <w:rsid w:val="2997606E"/>
    <w:rsid w:val="29996969"/>
    <w:rsid w:val="29AC3EB0"/>
    <w:rsid w:val="29B86116"/>
    <w:rsid w:val="29C25353"/>
    <w:rsid w:val="29C926FC"/>
    <w:rsid w:val="2A15313D"/>
    <w:rsid w:val="2A232C2C"/>
    <w:rsid w:val="2A3C5105"/>
    <w:rsid w:val="2A44045E"/>
    <w:rsid w:val="2A481CFC"/>
    <w:rsid w:val="2A4D7312"/>
    <w:rsid w:val="2AE16896"/>
    <w:rsid w:val="2B0830B5"/>
    <w:rsid w:val="2B47735B"/>
    <w:rsid w:val="2B4D206F"/>
    <w:rsid w:val="2BA900BB"/>
    <w:rsid w:val="2BB313F7"/>
    <w:rsid w:val="2BCB2591"/>
    <w:rsid w:val="2C3B4BD9"/>
    <w:rsid w:val="2C4C52E6"/>
    <w:rsid w:val="2C701096"/>
    <w:rsid w:val="2C800AFF"/>
    <w:rsid w:val="2CA174A1"/>
    <w:rsid w:val="2CCB451E"/>
    <w:rsid w:val="2CDD6A28"/>
    <w:rsid w:val="2CF17BCF"/>
    <w:rsid w:val="2D2325AC"/>
    <w:rsid w:val="2D236108"/>
    <w:rsid w:val="2D2F2E72"/>
    <w:rsid w:val="2D7E3C87"/>
    <w:rsid w:val="2DDD4BCE"/>
    <w:rsid w:val="2E640DD2"/>
    <w:rsid w:val="2E7C4F9A"/>
    <w:rsid w:val="2E9C122D"/>
    <w:rsid w:val="2EE67596"/>
    <w:rsid w:val="2EF520C9"/>
    <w:rsid w:val="2F155F25"/>
    <w:rsid w:val="2F687E17"/>
    <w:rsid w:val="2F6D0647"/>
    <w:rsid w:val="2F7B1828"/>
    <w:rsid w:val="2FC3122C"/>
    <w:rsid w:val="2FED14FE"/>
    <w:rsid w:val="300D4AF1"/>
    <w:rsid w:val="306453B6"/>
    <w:rsid w:val="30865B3B"/>
    <w:rsid w:val="30A1136B"/>
    <w:rsid w:val="30B33AE7"/>
    <w:rsid w:val="30B72DCA"/>
    <w:rsid w:val="311C1421"/>
    <w:rsid w:val="31226775"/>
    <w:rsid w:val="31382137"/>
    <w:rsid w:val="313F54DB"/>
    <w:rsid w:val="31820AE0"/>
    <w:rsid w:val="31A00F61"/>
    <w:rsid w:val="31D83A75"/>
    <w:rsid w:val="31F37CDC"/>
    <w:rsid w:val="321F4BB3"/>
    <w:rsid w:val="32260E5E"/>
    <w:rsid w:val="322D4367"/>
    <w:rsid w:val="32870EE7"/>
    <w:rsid w:val="32AC2EC7"/>
    <w:rsid w:val="336E39B0"/>
    <w:rsid w:val="33791178"/>
    <w:rsid w:val="33F928D4"/>
    <w:rsid w:val="34242218"/>
    <w:rsid w:val="34702697"/>
    <w:rsid w:val="34781430"/>
    <w:rsid w:val="34880F47"/>
    <w:rsid w:val="34AD22A5"/>
    <w:rsid w:val="34B87A7E"/>
    <w:rsid w:val="34EE45F0"/>
    <w:rsid w:val="35086463"/>
    <w:rsid w:val="35145492"/>
    <w:rsid w:val="353C71E4"/>
    <w:rsid w:val="35432D26"/>
    <w:rsid w:val="355C21DA"/>
    <w:rsid w:val="35E84393"/>
    <w:rsid w:val="35FF0BEE"/>
    <w:rsid w:val="36167AF4"/>
    <w:rsid w:val="368C4D1E"/>
    <w:rsid w:val="36947262"/>
    <w:rsid w:val="36A25C21"/>
    <w:rsid w:val="36C12B46"/>
    <w:rsid w:val="36E52EFD"/>
    <w:rsid w:val="37015D30"/>
    <w:rsid w:val="370B7B27"/>
    <w:rsid w:val="37185E0A"/>
    <w:rsid w:val="37502BB5"/>
    <w:rsid w:val="37626A7F"/>
    <w:rsid w:val="37753A04"/>
    <w:rsid w:val="378F51B7"/>
    <w:rsid w:val="37BB0E12"/>
    <w:rsid w:val="37C32A37"/>
    <w:rsid w:val="37CB365E"/>
    <w:rsid w:val="37E96C9E"/>
    <w:rsid w:val="38161712"/>
    <w:rsid w:val="38897862"/>
    <w:rsid w:val="391F631E"/>
    <w:rsid w:val="396A68E7"/>
    <w:rsid w:val="396D4285"/>
    <w:rsid w:val="39721E95"/>
    <w:rsid w:val="39A80BD7"/>
    <w:rsid w:val="39BC0741"/>
    <w:rsid w:val="39CF2452"/>
    <w:rsid w:val="3A032F8F"/>
    <w:rsid w:val="3A255BB6"/>
    <w:rsid w:val="3A2F31FD"/>
    <w:rsid w:val="3A3F57DF"/>
    <w:rsid w:val="3A4A42E9"/>
    <w:rsid w:val="3A6E0DDF"/>
    <w:rsid w:val="3A732697"/>
    <w:rsid w:val="3A8A77C7"/>
    <w:rsid w:val="3AAC0306"/>
    <w:rsid w:val="3B3360B0"/>
    <w:rsid w:val="3B6B264B"/>
    <w:rsid w:val="3C0D7CEF"/>
    <w:rsid w:val="3CF741E2"/>
    <w:rsid w:val="3D106015"/>
    <w:rsid w:val="3D1B7612"/>
    <w:rsid w:val="3D6E309B"/>
    <w:rsid w:val="3DB43D2E"/>
    <w:rsid w:val="3DD30799"/>
    <w:rsid w:val="3DEC3127"/>
    <w:rsid w:val="3E273A9F"/>
    <w:rsid w:val="3E3802CF"/>
    <w:rsid w:val="3E5A1BA6"/>
    <w:rsid w:val="3E5C147A"/>
    <w:rsid w:val="3E5D6A48"/>
    <w:rsid w:val="3E7D6227"/>
    <w:rsid w:val="3E8023E5"/>
    <w:rsid w:val="3E8506EE"/>
    <w:rsid w:val="3E893418"/>
    <w:rsid w:val="3EC807CE"/>
    <w:rsid w:val="3ED951C1"/>
    <w:rsid w:val="3F051B12"/>
    <w:rsid w:val="3F275F2C"/>
    <w:rsid w:val="3F3859D9"/>
    <w:rsid w:val="3F5C223B"/>
    <w:rsid w:val="3F753D18"/>
    <w:rsid w:val="3FD32C0B"/>
    <w:rsid w:val="3FD33896"/>
    <w:rsid w:val="3FDF6807"/>
    <w:rsid w:val="40104075"/>
    <w:rsid w:val="404B79F8"/>
    <w:rsid w:val="405477FF"/>
    <w:rsid w:val="406127EC"/>
    <w:rsid w:val="40901E97"/>
    <w:rsid w:val="409F5EA7"/>
    <w:rsid w:val="40C81A57"/>
    <w:rsid w:val="40D065B9"/>
    <w:rsid w:val="410B07D5"/>
    <w:rsid w:val="41176306"/>
    <w:rsid w:val="41263FC1"/>
    <w:rsid w:val="41287A75"/>
    <w:rsid w:val="419378A9"/>
    <w:rsid w:val="41BF2656"/>
    <w:rsid w:val="42070EA9"/>
    <w:rsid w:val="420B38E3"/>
    <w:rsid w:val="423170C2"/>
    <w:rsid w:val="42324B0A"/>
    <w:rsid w:val="425A10DF"/>
    <w:rsid w:val="42816E89"/>
    <w:rsid w:val="42A15AFD"/>
    <w:rsid w:val="42D75573"/>
    <w:rsid w:val="42FC147E"/>
    <w:rsid w:val="4360072A"/>
    <w:rsid w:val="439B2A45"/>
    <w:rsid w:val="439D67BD"/>
    <w:rsid w:val="43E554DB"/>
    <w:rsid w:val="43EA5439"/>
    <w:rsid w:val="4410089C"/>
    <w:rsid w:val="445F7F16"/>
    <w:rsid w:val="44A5030F"/>
    <w:rsid w:val="44B81B27"/>
    <w:rsid w:val="44C36E40"/>
    <w:rsid w:val="44FD725C"/>
    <w:rsid w:val="450224DC"/>
    <w:rsid w:val="457D2733"/>
    <w:rsid w:val="45940B83"/>
    <w:rsid w:val="459534C4"/>
    <w:rsid w:val="45D24072"/>
    <w:rsid w:val="45D51691"/>
    <w:rsid w:val="45E31EC5"/>
    <w:rsid w:val="460B7BA2"/>
    <w:rsid w:val="46245A91"/>
    <w:rsid w:val="46AB7443"/>
    <w:rsid w:val="46DC01E0"/>
    <w:rsid w:val="47177D15"/>
    <w:rsid w:val="471D7CC3"/>
    <w:rsid w:val="47411B55"/>
    <w:rsid w:val="47421D04"/>
    <w:rsid w:val="47451645"/>
    <w:rsid w:val="476F03A3"/>
    <w:rsid w:val="478E139C"/>
    <w:rsid w:val="47944F23"/>
    <w:rsid w:val="47A33E96"/>
    <w:rsid w:val="47BF7F9B"/>
    <w:rsid w:val="47C06F1E"/>
    <w:rsid w:val="47DD1F23"/>
    <w:rsid w:val="47FD4865"/>
    <w:rsid w:val="48021105"/>
    <w:rsid w:val="483725EE"/>
    <w:rsid w:val="485A7CD4"/>
    <w:rsid w:val="485E72D5"/>
    <w:rsid w:val="487E0C6F"/>
    <w:rsid w:val="490348AE"/>
    <w:rsid w:val="491255CC"/>
    <w:rsid w:val="49437E06"/>
    <w:rsid w:val="4957740E"/>
    <w:rsid w:val="495B14C0"/>
    <w:rsid w:val="498B18F3"/>
    <w:rsid w:val="499473EB"/>
    <w:rsid w:val="49A62143"/>
    <w:rsid w:val="49B20AE8"/>
    <w:rsid w:val="4A17094B"/>
    <w:rsid w:val="4A1C3B5E"/>
    <w:rsid w:val="4A235542"/>
    <w:rsid w:val="4A25750C"/>
    <w:rsid w:val="4A33286B"/>
    <w:rsid w:val="4A45370A"/>
    <w:rsid w:val="4A9C3BCC"/>
    <w:rsid w:val="4AC75392"/>
    <w:rsid w:val="4AC94DF1"/>
    <w:rsid w:val="4B054C48"/>
    <w:rsid w:val="4B713CC9"/>
    <w:rsid w:val="4B9B4CF6"/>
    <w:rsid w:val="4BA32F01"/>
    <w:rsid w:val="4BC4310F"/>
    <w:rsid w:val="4BC81B95"/>
    <w:rsid w:val="4BF27220"/>
    <w:rsid w:val="4BFC24EE"/>
    <w:rsid w:val="4C0373D9"/>
    <w:rsid w:val="4C174D62"/>
    <w:rsid w:val="4C257491"/>
    <w:rsid w:val="4C523EBC"/>
    <w:rsid w:val="4C8F3207"/>
    <w:rsid w:val="4CE2021B"/>
    <w:rsid w:val="4D04165B"/>
    <w:rsid w:val="4DDF54D6"/>
    <w:rsid w:val="4DE307C4"/>
    <w:rsid w:val="4E083A75"/>
    <w:rsid w:val="4E1B5913"/>
    <w:rsid w:val="4E573A0C"/>
    <w:rsid w:val="4E9F0BBC"/>
    <w:rsid w:val="4F124F23"/>
    <w:rsid w:val="4F2902CC"/>
    <w:rsid w:val="4F496CAE"/>
    <w:rsid w:val="4F6C798B"/>
    <w:rsid w:val="4F8151E4"/>
    <w:rsid w:val="4F946EA2"/>
    <w:rsid w:val="4FBC3CB9"/>
    <w:rsid w:val="4FDF7053"/>
    <w:rsid w:val="4FEC02DA"/>
    <w:rsid w:val="4FF0236A"/>
    <w:rsid w:val="50007A1A"/>
    <w:rsid w:val="50271AA2"/>
    <w:rsid w:val="504601DC"/>
    <w:rsid w:val="505553FE"/>
    <w:rsid w:val="50B8067E"/>
    <w:rsid w:val="50C25AB5"/>
    <w:rsid w:val="50E13A61"/>
    <w:rsid w:val="51403982"/>
    <w:rsid w:val="514A5AAA"/>
    <w:rsid w:val="514E699B"/>
    <w:rsid w:val="51AC026C"/>
    <w:rsid w:val="51BD7EBD"/>
    <w:rsid w:val="51D2241A"/>
    <w:rsid w:val="51EF5FDF"/>
    <w:rsid w:val="5211285B"/>
    <w:rsid w:val="52157B21"/>
    <w:rsid w:val="525239CD"/>
    <w:rsid w:val="527F4FA0"/>
    <w:rsid w:val="52851971"/>
    <w:rsid w:val="53083527"/>
    <w:rsid w:val="53195734"/>
    <w:rsid w:val="531E055D"/>
    <w:rsid w:val="5334431C"/>
    <w:rsid w:val="53407DE6"/>
    <w:rsid w:val="534E1882"/>
    <w:rsid w:val="53C64F1B"/>
    <w:rsid w:val="53C93FB4"/>
    <w:rsid w:val="53E053D5"/>
    <w:rsid w:val="542E285A"/>
    <w:rsid w:val="543459EF"/>
    <w:rsid w:val="543C40D6"/>
    <w:rsid w:val="545253A1"/>
    <w:rsid w:val="54525C8C"/>
    <w:rsid w:val="545F71D9"/>
    <w:rsid w:val="546832F7"/>
    <w:rsid w:val="546F411E"/>
    <w:rsid w:val="5487131B"/>
    <w:rsid w:val="54A534A8"/>
    <w:rsid w:val="54B0031A"/>
    <w:rsid w:val="54C052D0"/>
    <w:rsid w:val="554D3BA4"/>
    <w:rsid w:val="55683EDF"/>
    <w:rsid w:val="55936CD6"/>
    <w:rsid w:val="55AC285D"/>
    <w:rsid w:val="55E02539"/>
    <w:rsid w:val="560E7847"/>
    <w:rsid w:val="562C1C22"/>
    <w:rsid w:val="5661703E"/>
    <w:rsid w:val="566D68D7"/>
    <w:rsid w:val="56B313DC"/>
    <w:rsid w:val="56B539C6"/>
    <w:rsid w:val="570F1BB3"/>
    <w:rsid w:val="5716377B"/>
    <w:rsid w:val="571C3872"/>
    <w:rsid w:val="57201787"/>
    <w:rsid w:val="572024C2"/>
    <w:rsid w:val="57405985"/>
    <w:rsid w:val="57521214"/>
    <w:rsid w:val="57B82386"/>
    <w:rsid w:val="57D43827"/>
    <w:rsid w:val="57F22140"/>
    <w:rsid w:val="58451850"/>
    <w:rsid w:val="585D6406"/>
    <w:rsid w:val="585E2349"/>
    <w:rsid w:val="58E13718"/>
    <w:rsid w:val="591F166C"/>
    <w:rsid w:val="592F3F03"/>
    <w:rsid w:val="593E23CB"/>
    <w:rsid w:val="59412648"/>
    <w:rsid w:val="59465744"/>
    <w:rsid w:val="59511904"/>
    <w:rsid w:val="5971182F"/>
    <w:rsid w:val="5983623E"/>
    <w:rsid w:val="598F4BC6"/>
    <w:rsid w:val="59BF60D2"/>
    <w:rsid w:val="59C25819"/>
    <w:rsid w:val="59D817C4"/>
    <w:rsid w:val="5A117165"/>
    <w:rsid w:val="5A3E30EB"/>
    <w:rsid w:val="5A4E5B36"/>
    <w:rsid w:val="5A5F4E1E"/>
    <w:rsid w:val="5A5F78B5"/>
    <w:rsid w:val="5A9C45E3"/>
    <w:rsid w:val="5AB35DAE"/>
    <w:rsid w:val="5AE1122D"/>
    <w:rsid w:val="5B2D5AA3"/>
    <w:rsid w:val="5B340C8B"/>
    <w:rsid w:val="5B64627C"/>
    <w:rsid w:val="5B777BFD"/>
    <w:rsid w:val="5B7C0F56"/>
    <w:rsid w:val="5B955B74"/>
    <w:rsid w:val="5B962018"/>
    <w:rsid w:val="5BCB1498"/>
    <w:rsid w:val="5BDE7125"/>
    <w:rsid w:val="5BEB2F2C"/>
    <w:rsid w:val="5C0C254C"/>
    <w:rsid w:val="5C3B06E7"/>
    <w:rsid w:val="5C461306"/>
    <w:rsid w:val="5C466CF1"/>
    <w:rsid w:val="5C553A88"/>
    <w:rsid w:val="5CC62FA9"/>
    <w:rsid w:val="5CD979AB"/>
    <w:rsid w:val="5CEB6852"/>
    <w:rsid w:val="5D054756"/>
    <w:rsid w:val="5D5977A1"/>
    <w:rsid w:val="5D75104B"/>
    <w:rsid w:val="5D7D7A47"/>
    <w:rsid w:val="5D811502"/>
    <w:rsid w:val="5DE54B90"/>
    <w:rsid w:val="5E0A0A9B"/>
    <w:rsid w:val="5E1555A0"/>
    <w:rsid w:val="5E2C0A11"/>
    <w:rsid w:val="5E2C730E"/>
    <w:rsid w:val="5E343D6A"/>
    <w:rsid w:val="5E7033A0"/>
    <w:rsid w:val="5ED34345"/>
    <w:rsid w:val="5EF56306"/>
    <w:rsid w:val="5EF94797"/>
    <w:rsid w:val="5EFC6636"/>
    <w:rsid w:val="5F220723"/>
    <w:rsid w:val="5F6366B5"/>
    <w:rsid w:val="5F670580"/>
    <w:rsid w:val="5FBB170B"/>
    <w:rsid w:val="5FE82AE6"/>
    <w:rsid w:val="601D53E8"/>
    <w:rsid w:val="60270235"/>
    <w:rsid w:val="60490C1C"/>
    <w:rsid w:val="60D20B1F"/>
    <w:rsid w:val="615C6957"/>
    <w:rsid w:val="617567FB"/>
    <w:rsid w:val="61886931"/>
    <w:rsid w:val="61B20D1F"/>
    <w:rsid w:val="61E6678D"/>
    <w:rsid w:val="61FA4982"/>
    <w:rsid w:val="623428EB"/>
    <w:rsid w:val="6234549A"/>
    <w:rsid w:val="623C0374"/>
    <w:rsid w:val="623C71B1"/>
    <w:rsid w:val="625422E5"/>
    <w:rsid w:val="625B2A72"/>
    <w:rsid w:val="626F35C2"/>
    <w:rsid w:val="62A212A2"/>
    <w:rsid w:val="62AA0157"/>
    <w:rsid w:val="62C53331"/>
    <w:rsid w:val="62C8429D"/>
    <w:rsid w:val="62CF42DA"/>
    <w:rsid w:val="62E62AFE"/>
    <w:rsid w:val="631823BA"/>
    <w:rsid w:val="633330CC"/>
    <w:rsid w:val="63597570"/>
    <w:rsid w:val="638D7B34"/>
    <w:rsid w:val="63A44BEB"/>
    <w:rsid w:val="63AB61C2"/>
    <w:rsid w:val="63B0222B"/>
    <w:rsid w:val="63B816E7"/>
    <w:rsid w:val="63CC45DE"/>
    <w:rsid w:val="63D52E6A"/>
    <w:rsid w:val="63F34F12"/>
    <w:rsid w:val="64054F02"/>
    <w:rsid w:val="642138E3"/>
    <w:rsid w:val="64291E8A"/>
    <w:rsid w:val="64626004"/>
    <w:rsid w:val="646C19F5"/>
    <w:rsid w:val="64947310"/>
    <w:rsid w:val="64C50777"/>
    <w:rsid w:val="651961C4"/>
    <w:rsid w:val="655648DD"/>
    <w:rsid w:val="65682DB3"/>
    <w:rsid w:val="6582360D"/>
    <w:rsid w:val="659A6549"/>
    <w:rsid w:val="65A01333"/>
    <w:rsid w:val="65A30754"/>
    <w:rsid w:val="65A74F9C"/>
    <w:rsid w:val="661C7ED9"/>
    <w:rsid w:val="66235333"/>
    <w:rsid w:val="66C20F99"/>
    <w:rsid w:val="66CF2882"/>
    <w:rsid w:val="66CF40D9"/>
    <w:rsid w:val="67165469"/>
    <w:rsid w:val="67490AEC"/>
    <w:rsid w:val="677211C1"/>
    <w:rsid w:val="67890E2E"/>
    <w:rsid w:val="67AC6944"/>
    <w:rsid w:val="67BF1E59"/>
    <w:rsid w:val="67CC3F5C"/>
    <w:rsid w:val="67D00EAF"/>
    <w:rsid w:val="68466B73"/>
    <w:rsid w:val="685C49FC"/>
    <w:rsid w:val="688F3F06"/>
    <w:rsid w:val="68AE3BF4"/>
    <w:rsid w:val="68C655CD"/>
    <w:rsid w:val="68E512C2"/>
    <w:rsid w:val="6940635C"/>
    <w:rsid w:val="6949654A"/>
    <w:rsid w:val="697335CF"/>
    <w:rsid w:val="69C13297"/>
    <w:rsid w:val="69EE41A7"/>
    <w:rsid w:val="6A1F3F61"/>
    <w:rsid w:val="6A2B31D7"/>
    <w:rsid w:val="6A2D6B15"/>
    <w:rsid w:val="6A2E48A8"/>
    <w:rsid w:val="6A3D6C25"/>
    <w:rsid w:val="6A485757"/>
    <w:rsid w:val="6A5B1CF6"/>
    <w:rsid w:val="6A770BAA"/>
    <w:rsid w:val="6AB25BC6"/>
    <w:rsid w:val="6AC545E6"/>
    <w:rsid w:val="6AD06BC8"/>
    <w:rsid w:val="6B064398"/>
    <w:rsid w:val="6B1418FB"/>
    <w:rsid w:val="6B2A3DC3"/>
    <w:rsid w:val="6B3727A3"/>
    <w:rsid w:val="6B7A551F"/>
    <w:rsid w:val="6BB15131"/>
    <w:rsid w:val="6BB51181"/>
    <w:rsid w:val="6BC56001"/>
    <w:rsid w:val="6BD526E8"/>
    <w:rsid w:val="6C0F54CE"/>
    <w:rsid w:val="6C166407"/>
    <w:rsid w:val="6C2216A6"/>
    <w:rsid w:val="6C25251E"/>
    <w:rsid w:val="6C381EAA"/>
    <w:rsid w:val="6C3A550E"/>
    <w:rsid w:val="6C7F334F"/>
    <w:rsid w:val="6CD24E7A"/>
    <w:rsid w:val="6CEF77DA"/>
    <w:rsid w:val="6D02727E"/>
    <w:rsid w:val="6D056FFD"/>
    <w:rsid w:val="6D3D3BB1"/>
    <w:rsid w:val="6D605CD6"/>
    <w:rsid w:val="6D7F604D"/>
    <w:rsid w:val="6DAA54AF"/>
    <w:rsid w:val="6DBC1623"/>
    <w:rsid w:val="6DEA6910"/>
    <w:rsid w:val="6DF23418"/>
    <w:rsid w:val="6E065F47"/>
    <w:rsid w:val="6E2D692B"/>
    <w:rsid w:val="6E63518D"/>
    <w:rsid w:val="6E777A87"/>
    <w:rsid w:val="6EDF6E66"/>
    <w:rsid w:val="6EE60963"/>
    <w:rsid w:val="6EEB042A"/>
    <w:rsid w:val="6F4D6A39"/>
    <w:rsid w:val="6FD11D8A"/>
    <w:rsid w:val="6FD51038"/>
    <w:rsid w:val="6FE23626"/>
    <w:rsid w:val="70556927"/>
    <w:rsid w:val="706459F2"/>
    <w:rsid w:val="70A94143"/>
    <w:rsid w:val="70D7304D"/>
    <w:rsid w:val="70E64A50"/>
    <w:rsid w:val="710A0DE2"/>
    <w:rsid w:val="712D54E7"/>
    <w:rsid w:val="71450EBE"/>
    <w:rsid w:val="71657C8E"/>
    <w:rsid w:val="71826172"/>
    <w:rsid w:val="71B833E4"/>
    <w:rsid w:val="71C6131B"/>
    <w:rsid w:val="71CF5C96"/>
    <w:rsid w:val="71E847BD"/>
    <w:rsid w:val="71EB7372"/>
    <w:rsid w:val="71FA7796"/>
    <w:rsid w:val="71FD64F5"/>
    <w:rsid w:val="72103B86"/>
    <w:rsid w:val="72986717"/>
    <w:rsid w:val="730E3412"/>
    <w:rsid w:val="730E4732"/>
    <w:rsid w:val="732144AE"/>
    <w:rsid w:val="733A72D5"/>
    <w:rsid w:val="7348630E"/>
    <w:rsid w:val="734E00B0"/>
    <w:rsid w:val="73533533"/>
    <w:rsid w:val="736E129A"/>
    <w:rsid w:val="73A8624F"/>
    <w:rsid w:val="73DD3D5E"/>
    <w:rsid w:val="742E1902"/>
    <w:rsid w:val="742F0C24"/>
    <w:rsid w:val="74481CA5"/>
    <w:rsid w:val="746338A2"/>
    <w:rsid w:val="748034FC"/>
    <w:rsid w:val="74CA7A9D"/>
    <w:rsid w:val="75A629FF"/>
    <w:rsid w:val="75B83EBE"/>
    <w:rsid w:val="75F9181C"/>
    <w:rsid w:val="762F7F83"/>
    <w:rsid w:val="768D19CC"/>
    <w:rsid w:val="76FE3BE5"/>
    <w:rsid w:val="7719556E"/>
    <w:rsid w:val="7791256B"/>
    <w:rsid w:val="77A94A29"/>
    <w:rsid w:val="77D2517F"/>
    <w:rsid w:val="77E516A9"/>
    <w:rsid w:val="784136F1"/>
    <w:rsid w:val="78583817"/>
    <w:rsid w:val="787F0A8F"/>
    <w:rsid w:val="78816333"/>
    <w:rsid w:val="788320B9"/>
    <w:rsid w:val="78874729"/>
    <w:rsid w:val="78BD1F5B"/>
    <w:rsid w:val="78E73A5B"/>
    <w:rsid w:val="791C31C7"/>
    <w:rsid w:val="793547C6"/>
    <w:rsid w:val="797D616D"/>
    <w:rsid w:val="79C15D7F"/>
    <w:rsid w:val="79D83410"/>
    <w:rsid w:val="79DD5C0A"/>
    <w:rsid w:val="79EA4A14"/>
    <w:rsid w:val="79ED32F3"/>
    <w:rsid w:val="79F95D73"/>
    <w:rsid w:val="7A056C38"/>
    <w:rsid w:val="7A103E93"/>
    <w:rsid w:val="7A1D6A73"/>
    <w:rsid w:val="7B280CA6"/>
    <w:rsid w:val="7B585E49"/>
    <w:rsid w:val="7B7470FC"/>
    <w:rsid w:val="7B8D364B"/>
    <w:rsid w:val="7BD146BC"/>
    <w:rsid w:val="7BE80405"/>
    <w:rsid w:val="7BEC7C99"/>
    <w:rsid w:val="7BF72207"/>
    <w:rsid w:val="7C1959DA"/>
    <w:rsid w:val="7CA2673A"/>
    <w:rsid w:val="7CD7128C"/>
    <w:rsid w:val="7D01360C"/>
    <w:rsid w:val="7D2B742D"/>
    <w:rsid w:val="7D3B14EA"/>
    <w:rsid w:val="7D44147C"/>
    <w:rsid w:val="7D56583B"/>
    <w:rsid w:val="7DA243F4"/>
    <w:rsid w:val="7DA428C8"/>
    <w:rsid w:val="7DC73E5B"/>
    <w:rsid w:val="7DF154A0"/>
    <w:rsid w:val="7DF96D7D"/>
    <w:rsid w:val="7E0E707F"/>
    <w:rsid w:val="7E3F3482"/>
    <w:rsid w:val="7E514D2D"/>
    <w:rsid w:val="7E6A40E1"/>
    <w:rsid w:val="7E7B3AC9"/>
    <w:rsid w:val="7E9E2E0E"/>
    <w:rsid w:val="7EB0669D"/>
    <w:rsid w:val="7EF34592"/>
    <w:rsid w:val="7EF95784"/>
    <w:rsid w:val="7F001486"/>
    <w:rsid w:val="7F334389"/>
    <w:rsid w:val="7F685E1B"/>
    <w:rsid w:val="7F924BD0"/>
    <w:rsid w:val="7FC06C5B"/>
    <w:rsid w:val="7FC24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5">
    <w:name w:val="heading 2"/>
    <w:basedOn w:val="1"/>
    <w:qFormat/>
    <w:uiPriority w:val="0"/>
    <w:pPr>
      <w:keepNext/>
      <w:keepLines/>
      <w:numPr>
        <w:ilvl w:val="1"/>
        <w:numId w:val="1"/>
      </w:numPr>
      <w:adjustRightInd w:val="0"/>
      <w:snapToGrid w:val="0"/>
      <w:spacing w:line="240" w:lineRule="auto"/>
      <w:jc w:val="center"/>
      <w:outlineLvl w:val="1"/>
    </w:pPr>
    <w:rPr>
      <w:rFonts w:eastAsia="Times New Roman"/>
      <w:sz w:val="24"/>
      <w:szCs w:val="20"/>
    </w:rPr>
  </w:style>
  <w:style w:type="paragraph" w:styleId="6">
    <w:name w:val="heading 3"/>
    <w:basedOn w:val="1"/>
    <w:next w:val="1"/>
    <w:unhideWhenUsed/>
    <w:qFormat/>
    <w:uiPriority w:val="0"/>
    <w:pPr>
      <w:keepNext/>
      <w:keepLines/>
      <w:spacing w:before="20" w:after="20"/>
      <w:jc w:val="left"/>
      <w:outlineLvl w:val="2"/>
    </w:pPr>
    <w:rPr>
      <w:b/>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snapToGrid w:val="0"/>
      <w:spacing w:before="60" w:after="160" w:line="259" w:lineRule="auto"/>
      <w:ind w:right="113"/>
    </w:pPr>
    <w:rPr>
      <w:kern w:val="0"/>
      <w:sz w:val="18"/>
      <w:szCs w:val="20"/>
    </w:rPr>
  </w:style>
  <w:style w:type="paragraph" w:styleId="3">
    <w:name w:val="List Bullet 5"/>
    <w:basedOn w:val="1"/>
    <w:qFormat/>
    <w:uiPriority w:val="0"/>
    <w:pPr>
      <w:numPr>
        <w:ilvl w:val="0"/>
        <w:numId w:val="2"/>
      </w:numPr>
    </w:pPr>
  </w:style>
  <w:style w:type="paragraph" w:styleId="7">
    <w:name w:val="List 3"/>
    <w:basedOn w:val="1"/>
    <w:qFormat/>
    <w:uiPriority w:val="0"/>
    <w:pPr>
      <w:ind w:left="100" w:leftChars="400" w:hanging="200" w:hangingChars="200"/>
      <w:contextualSpacing/>
    </w:pPr>
  </w:style>
  <w:style w:type="paragraph" w:styleId="8">
    <w:name w:val="Normal Indent"/>
    <w:basedOn w:val="1"/>
    <w:qFormat/>
    <w:uiPriority w:val="0"/>
    <w:pPr>
      <w:ind w:firstLine="420"/>
    </w:pPr>
  </w:style>
  <w:style w:type="paragraph" w:styleId="9">
    <w:name w:val="caption"/>
    <w:basedOn w:val="1"/>
    <w:next w:val="1"/>
    <w:qFormat/>
    <w:uiPriority w:val="0"/>
    <w:pPr>
      <w:keepNext/>
      <w:spacing w:beforeLines="50"/>
      <w:jc w:val="center"/>
    </w:pPr>
    <w:rPr>
      <w:rFonts w:eastAsia="黑体"/>
      <w:szCs w:val="20"/>
    </w:rPr>
  </w:style>
  <w:style w:type="paragraph" w:styleId="10">
    <w:name w:val="toa heading"/>
    <w:basedOn w:val="1"/>
    <w:next w:val="1"/>
    <w:semiHidden/>
    <w:qFormat/>
    <w:uiPriority w:val="0"/>
    <w:pPr>
      <w:adjustRightInd w:val="0"/>
      <w:snapToGrid w:val="0"/>
      <w:spacing w:before="120" w:line="312" w:lineRule="auto"/>
    </w:pPr>
    <w:rPr>
      <w:rFonts w:ascii="Arial" w:hAnsi="Arial" w:cs="Arial"/>
      <w:sz w:val="24"/>
      <w:szCs w:val="24"/>
    </w:rPr>
  </w:style>
  <w:style w:type="paragraph" w:styleId="11">
    <w:name w:val="annotation text"/>
    <w:basedOn w:val="1"/>
    <w:link w:val="46"/>
    <w:semiHidden/>
    <w:qFormat/>
    <w:uiPriority w:val="0"/>
    <w:pPr>
      <w:jc w:val="left"/>
    </w:pPr>
    <w:rPr>
      <w:kern w:val="0"/>
      <w:sz w:val="24"/>
      <w:szCs w:val="20"/>
    </w:rPr>
  </w:style>
  <w:style w:type="paragraph" w:styleId="12">
    <w:name w:val="Body Text Indent"/>
    <w:basedOn w:val="1"/>
    <w:qFormat/>
    <w:uiPriority w:val="0"/>
    <w:pPr>
      <w:spacing w:after="120"/>
      <w:ind w:left="420" w:leftChars="200"/>
    </w:pPr>
    <w:rPr>
      <w:kern w:val="0"/>
      <w:sz w:val="24"/>
      <w:szCs w:val="20"/>
    </w:rPr>
  </w:style>
  <w:style w:type="paragraph" w:styleId="13">
    <w:name w:val="Block Text"/>
    <w:basedOn w:val="1"/>
    <w:qFormat/>
    <w:uiPriority w:val="0"/>
    <w:pPr>
      <w:spacing w:after="120"/>
      <w:ind w:left="1440" w:leftChars="700" w:right="1440" w:rightChars="700"/>
    </w:pPr>
  </w:style>
  <w:style w:type="paragraph" w:styleId="14">
    <w:name w:val="Plain Text"/>
    <w:basedOn w:val="1"/>
    <w:qFormat/>
    <w:uiPriority w:val="0"/>
    <w:rPr>
      <w:rFonts w:ascii="宋体" w:hAnsi="Courier New" w:eastAsiaTheme="minorEastAsia"/>
    </w:rPr>
  </w:style>
  <w:style w:type="paragraph" w:styleId="15">
    <w:name w:val="Balloon Text"/>
    <w:basedOn w:val="1"/>
    <w:link w:val="48"/>
    <w:qFormat/>
    <w:uiPriority w:val="0"/>
    <w:pPr>
      <w:spacing w:line="240" w:lineRule="auto"/>
    </w:pPr>
    <w:rPr>
      <w:sz w:val="18"/>
      <w:szCs w:val="18"/>
    </w:rPr>
  </w:style>
  <w:style w:type="paragraph" w:styleId="16">
    <w:name w:val="footer"/>
    <w:basedOn w:val="1"/>
    <w:qFormat/>
    <w:uiPriority w:val="99"/>
    <w:pPr>
      <w:tabs>
        <w:tab w:val="center" w:pos="4153"/>
        <w:tab w:val="right" w:pos="8306"/>
      </w:tabs>
      <w:snapToGrid w:val="0"/>
      <w:jc w:val="left"/>
    </w:pPr>
    <w:rPr>
      <w:kern w:val="0"/>
      <w:sz w:val="18"/>
      <w:szCs w:val="20"/>
    </w:rPr>
  </w:style>
  <w:style w:type="paragraph" w:styleId="17">
    <w:name w:val="header"/>
    <w:basedOn w:val="1"/>
    <w:next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tabs>
        <w:tab w:val="right" w:leader="dot" w:pos="8778"/>
      </w:tabs>
    </w:pPr>
    <w:rPr>
      <w:rFonts w:ascii="宋体" w:hAnsi="宋体"/>
      <w:b/>
      <w:sz w:val="24"/>
    </w:rPr>
  </w:style>
  <w:style w:type="paragraph" w:styleId="19">
    <w:name w:val="List"/>
    <w:basedOn w:val="1"/>
    <w:qFormat/>
    <w:uiPriority w:val="0"/>
    <w:pPr>
      <w:ind w:left="200" w:hanging="200" w:hangingChars="200"/>
    </w:pPr>
    <w:rPr>
      <w:sz w:val="24"/>
    </w:rPr>
  </w:style>
  <w:style w:type="paragraph" w:styleId="20">
    <w:name w:val="Body Text Indent 3"/>
    <w:basedOn w:val="1"/>
    <w:qFormat/>
    <w:uiPriority w:val="0"/>
    <w:pPr>
      <w:spacing w:line="400" w:lineRule="exact"/>
      <w:ind w:firstLine="480" w:firstLineChars="200"/>
    </w:pPr>
    <w:rPr>
      <w:rFonts w:ascii="宋体" w:hAnsi="宋体"/>
      <w:sz w:val="24"/>
    </w:rPr>
  </w:style>
  <w:style w:type="paragraph" w:styleId="21">
    <w:name w:val="Normal (Web)"/>
    <w:basedOn w:val="1"/>
    <w:qFormat/>
    <w:uiPriority w:val="0"/>
    <w:pPr>
      <w:widowControl/>
      <w:spacing w:before="100" w:beforeAutospacing="1" w:after="100" w:afterAutospacing="1"/>
      <w:jc w:val="left"/>
    </w:pPr>
    <w:rPr>
      <w:rFonts w:ascii="宋体" w:hAnsi="宋体"/>
      <w:sz w:val="24"/>
      <w:szCs w:val="22"/>
    </w:rPr>
  </w:style>
  <w:style w:type="paragraph" w:styleId="22">
    <w:name w:val="Title"/>
    <w:basedOn w:val="1"/>
    <w:next w:val="1"/>
    <w:qFormat/>
    <w:uiPriority w:val="0"/>
    <w:pPr>
      <w:spacing w:before="240" w:after="60"/>
      <w:jc w:val="center"/>
      <w:outlineLvl w:val="0"/>
    </w:pPr>
    <w:rPr>
      <w:rFonts w:ascii="Calibri Light" w:hAnsi="Calibri Light"/>
      <w:b/>
      <w:bCs/>
      <w:sz w:val="32"/>
      <w:szCs w:val="32"/>
    </w:rPr>
  </w:style>
  <w:style w:type="paragraph" w:styleId="23">
    <w:name w:val="annotation subject"/>
    <w:basedOn w:val="11"/>
    <w:next w:val="11"/>
    <w:link w:val="47"/>
    <w:qFormat/>
    <w:uiPriority w:val="0"/>
    <w:rPr>
      <w:b/>
      <w:bCs/>
      <w:kern w:val="2"/>
      <w:sz w:val="21"/>
      <w:szCs w:val="21"/>
    </w:rPr>
  </w:style>
  <w:style w:type="paragraph" w:styleId="24">
    <w:name w:val="Body Text First Indent"/>
    <w:basedOn w:val="2"/>
    <w:semiHidden/>
    <w:unhideWhenUsed/>
    <w:qFormat/>
    <w:uiPriority w:val="0"/>
    <w:pPr>
      <w:ind w:firstLine="420" w:firstLineChars="100"/>
    </w:pPr>
    <w:rPr>
      <w:rFonts w:asciiTheme="minorHAnsi" w:hAnsiTheme="minorHAnsi" w:eastAsiaTheme="minorEastAsia" w:cstheme="minorBidi"/>
    </w:rPr>
  </w:style>
  <w:style w:type="paragraph" w:styleId="25">
    <w:name w:val="Body Text First Indent 2"/>
    <w:basedOn w:val="12"/>
    <w:unhideWhenUsed/>
    <w:qFormat/>
    <w:uiPriority w:val="0"/>
    <w:pPr>
      <w:ind w:firstLine="420" w:firstLineChars="200"/>
    </w:pPr>
    <w:rPr>
      <w:rFonts w:hint="eastAsia" w:ascii="宋体" w:hAnsi="宋体"/>
      <w:kern w:val="2"/>
      <w:sz w:val="21"/>
      <w:szCs w:val="24"/>
    </w:r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basedOn w:val="28"/>
    <w:qFormat/>
    <w:uiPriority w:val="0"/>
  </w:style>
  <w:style w:type="character" w:styleId="31">
    <w:name w:val="Emphasis"/>
    <w:basedOn w:val="28"/>
    <w:qFormat/>
    <w:uiPriority w:val="0"/>
    <w:rPr>
      <w:i/>
    </w:rPr>
  </w:style>
  <w:style w:type="character" w:styleId="32">
    <w:name w:val="Hyperlink"/>
    <w:basedOn w:val="28"/>
    <w:qFormat/>
    <w:uiPriority w:val="0"/>
    <w:rPr>
      <w:color w:val="0000FF"/>
      <w:u w:val="single"/>
    </w:rPr>
  </w:style>
  <w:style w:type="character" w:styleId="33">
    <w:name w:val="annotation reference"/>
    <w:basedOn w:val="28"/>
    <w:qFormat/>
    <w:uiPriority w:val="0"/>
    <w:rPr>
      <w:sz w:val="21"/>
      <w:szCs w:val="21"/>
    </w:rPr>
  </w:style>
  <w:style w:type="paragraph" w:customStyle="1" w:styleId="34">
    <w:name w:val="Default"/>
    <w:basedOn w:val="35"/>
    <w:unhideWhenUsed/>
    <w:qFormat/>
    <w:uiPriority w:val="99"/>
    <w:pPr>
      <w:autoSpaceDE w:val="0"/>
      <w:autoSpaceDN w:val="0"/>
    </w:pPr>
    <w:rPr>
      <w:rFonts w:hint="eastAsia" w:hAnsi="宋体"/>
      <w:color w:val="000000"/>
      <w:sz w:val="24"/>
      <w:szCs w:val="24"/>
    </w:rPr>
  </w:style>
  <w:style w:type="paragraph" w:customStyle="1" w:styleId="35">
    <w:name w:val="纯文本1"/>
    <w:basedOn w:val="1"/>
    <w:qFormat/>
    <w:uiPriority w:val="0"/>
    <w:pPr>
      <w:adjustRightInd w:val="0"/>
    </w:pPr>
    <w:rPr>
      <w:rFonts w:ascii="宋体" w:hAnsi="Courier New"/>
      <w:szCs w:val="20"/>
    </w:rPr>
  </w:style>
  <w:style w:type="paragraph" w:customStyle="1" w:styleId="36">
    <w:name w:val="NormalIndent"/>
    <w:basedOn w:val="1"/>
    <w:next w:val="1"/>
    <w:qFormat/>
    <w:uiPriority w:val="99"/>
    <w:pPr>
      <w:jc w:val="left"/>
    </w:pPr>
    <w:rPr>
      <w:spacing w:val="-25"/>
    </w:rPr>
  </w:style>
  <w:style w:type="paragraph" w:customStyle="1" w:styleId="37">
    <w:name w:val="表格文字"/>
    <w:basedOn w:val="1"/>
    <w:qFormat/>
    <w:uiPriority w:val="0"/>
    <w:pPr>
      <w:jc w:val="center"/>
    </w:pPr>
    <w:rPr>
      <w:rFonts w:ascii="仿宋_GB2312" w:hAnsi="Arial Black" w:eastAsia="仿宋_GB2312"/>
      <w:kern w:val="44"/>
      <w:sz w:val="24"/>
      <w:szCs w:val="20"/>
    </w:rPr>
  </w:style>
  <w:style w:type="paragraph" w:customStyle="1" w:styleId="38">
    <w:name w:val="表头"/>
    <w:basedOn w:val="1"/>
    <w:qFormat/>
    <w:uiPriority w:val="0"/>
    <w:pPr>
      <w:adjustRightInd w:val="0"/>
      <w:spacing w:line="320" w:lineRule="atLeast"/>
      <w:jc w:val="center"/>
      <w:textAlignment w:val="baseline"/>
    </w:pPr>
    <w:rPr>
      <w:rFonts w:eastAsia="黑体" w:asciiTheme="minorHAnsi" w:hAnsiTheme="minorHAnsi" w:cstheme="minorBidi"/>
      <w:spacing w:val="-10"/>
      <w:szCs w:val="22"/>
    </w:rPr>
  </w:style>
  <w:style w:type="paragraph" w:customStyle="1" w:styleId="39">
    <w:name w:val="No Spacing1"/>
    <w:basedOn w:val="1"/>
    <w:qFormat/>
    <w:uiPriority w:val="0"/>
    <w:pPr>
      <w:jc w:val="center"/>
    </w:pPr>
    <w:rPr>
      <w:rFonts w:hint="eastAsia" w:ascii="宋体" w:hAnsi="Courier New" w:eastAsia="仿宋_GB2312"/>
      <w:sz w:val="24"/>
      <w:szCs w:val="22"/>
    </w:rPr>
  </w:style>
  <w:style w:type="paragraph" w:customStyle="1" w:styleId="40">
    <w:name w:val="无间隔2"/>
    <w:basedOn w:val="1"/>
    <w:qFormat/>
    <w:uiPriority w:val="0"/>
    <w:pPr>
      <w:jc w:val="center"/>
    </w:pPr>
    <w:rPr>
      <w:rFonts w:hint="eastAsia" w:ascii="宋体" w:hAnsi="Courier New" w:eastAsia="仿宋_GB2312"/>
      <w:sz w:val="24"/>
      <w:szCs w:val="20"/>
    </w:rPr>
  </w:style>
  <w:style w:type="paragraph" w:customStyle="1" w:styleId="41">
    <w:name w:val="1表格内字体"/>
    <w:basedOn w:val="1"/>
    <w:qFormat/>
    <w:uiPriority w:val="0"/>
    <w:pPr>
      <w:snapToGrid w:val="0"/>
      <w:spacing w:line="240" w:lineRule="auto"/>
      <w:jc w:val="center"/>
    </w:pPr>
  </w:style>
  <w:style w:type="paragraph" w:customStyle="1" w:styleId="42">
    <w:name w:val="表格 居中"/>
    <w:basedOn w:val="1"/>
    <w:qFormat/>
    <w:uiPriority w:val="0"/>
    <w:pPr>
      <w:snapToGrid w:val="0"/>
      <w:spacing w:line="240" w:lineRule="auto"/>
      <w:jc w:val="center"/>
    </w:pPr>
  </w:style>
  <w:style w:type="paragraph" w:customStyle="1" w:styleId="43">
    <w:name w:val="1图表标题"/>
    <w:basedOn w:val="1"/>
    <w:next w:val="44"/>
    <w:qFormat/>
    <w:uiPriority w:val="0"/>
    <w:pPr>
      <w:snapToGrid w:val="0"/>
      <w:spacing w:line="240" w:lineRule="auto"/>
      <w:jc w:val="center"/>
    </w:pPr>
    <w:rPr>
      <w:bCs/>
      <w:szCs w:val="20"/>
    </w:rPr>
  </w:style>
  <w:style w:type="paragraph" w:customStyle="1" w:styleId="44">
    <w:name w:val="1正文--使用此"/>
    <w:basedOn w:val="1"/>
    <w:link w:val="45"/>
    <w:qFormat/>
    <w:uiPriority w:val="0"/>
    <w:pPr>
      <w:ind w:firstLine="720" w:firstLineChars="200"/>
    </w:pPr>
  </w:style>
  <w:style w:type="character" w:customStyle="1" w:styleId="45">
    <w:name w:val="1正文--使用此 Char"/>
    <w:link w:val="44"/>
    <w:qFormat/>
    <w:uiPriority w:val="0"/>
    <w:rPr>
      <w:rFonts w:ascii="Times New Roman" w:hAnsi="Times New Roman"/>
    </w:rPr>
  </w:style>
  <w:style w:type="character" w:customStyle="1" w:styleId="46">
    <w:name w:val="批注文字 字符"/>
    <w:basedOn w:val="28"/>
    <w:link w:val="11"/>
    <w:semiHidden/>
    <w:qFormat/>
    <w:uiPriority w:val="0"/>
    <w:rPr>
      <w:sz w:val="24"/>
    </w:rPr>
  </w:style>
  <w:style w:type="character" w:customStyle="1" w:styleId="47">
    <w:name w:val="批注主题 字符"/>
    <w:basedOn w:val="46"/>
    <w:link w:val="23"/>
    <w:qFormat/>
    <w:uiPriority w:val="0"/>
    <w:rPr>
      <w:b/>
      <w:bCs/>
      <w:kern w:val="2"/>
      <w:sz w:val="21"/>
      <w:szCs w:val="21"/>
    </w:rPr>
  </w:style>
  <w:style w:type="character" w:customStyle="1" w:styleId="48">
    <w:name w:val="批注框文本 字符"/>
    <w:basedOn w:val="28"/>
    <w:link w:val="15"/>
    <w:qFormat/>
    <w:uiPriority w:val="0"/>
    <w:rPr>
      <w:kern w:val="2"/>
      <w:sz w:val="18"/>
      <w:szCs w:val="18"/>
    </w:rPr>
  </w:style>
  <w:style w:type="table" w:customStyle="1" w:styleId="49">
    <w:name w:val="网格型1"/>
    <w:basedOn w:val="26"/>
    <w:qFormat/>
    <w:uiPriority w:val="99"/>
    <w:pPr>
      <w:adjustRightInd w:val="0"/>
      <w:snapToGrid w:val="0"/>
      <w:jc w:val="center"/>
    </w:pPr>
    <w:tblPr>
      <w:jc w:val="center"/>
      <w:tblBorders>
        <w:top w:val="single" w:color="auto" w:sz="12" w:space="0"/>
        <w:bottom w:val="single" w:color="auto" w:sz="12" w:space="0"/>
        <w:insideH w:val="single" w:color="auto" w:sz="4" w:space="0"/>
        <w:insideV w:val="single" w:color="auto" w:sz="4" w:space="0"/>
      </w:tblBorders>
    </w:tblPr>
    <w:trPr>
      <w:jc w:val="center"/>
    </w:trPr>
    <w:tcPr>
      <w:vAlign w:val="center"/>
    </w:tcPr>
    <w:tblStylePr w:type="firstRow">
      <w:rPr>
        <w:rFonts w:ascii="Times New Roman" w:hAnsi="Times New Roman" w:eastAsia="宋体"/>
        <w:b/>
        <w:sz w:val="21"/>
      </w:rPr>
      <w:tcPr>
        <w:tcBorders>
          <w:top w:val="single" w:color="auto" w:sz="4" w:space="0"/>
          <w:left w:val="nil"/>
          <w:bottom w:val="single" w:color="auto" w:sz="4" w:space="0"/>
          <w:right w:val="nil"/>
          <w:insideH w:val="nil"/>
          <w:insideV w:val="nil"/>
          <w:tl2br w:val="nil"/>
          <w:tr2bl w:val="nil"/>
        </w:tcBorders>
      </w:tcPr>
    </w:tblStylePr>
  </w:style>
  <w:style w:type="paragraph" w:customStyle="1" w:styleId="50">
    <w:name w:val="样式5"/>
    <w:basedOn w:val="51"/>
    <w:next w:val="1"/>
    <w:qFormat/>
    <w:uiPriority w:val="0"/>
    <w:pPr>
      <w:adjustRightInd w:val="0"/>
      <w:snapToGrid w:val="0"/>
    </w:pPr>
    <w:rPr>
      <w:rFonts w:eastAsia="仿宋_GB2312" w:asciiTheme="minorHAnsi" w:hAnsiTheme="minorHAnsi" w:cstheme="minorBidi"/>
      <w:sz w:val="24"/>
    </w:rPr>
  </w:style>
  <w:style w:type="paragraph" w:customStyle="1" w:styleId="51">
    <w:name w:val="图框文字"/>
    <w:basedOn w:val="1"/>
    <w:qFormat/>
    <w:uiPriority w:val="0"/>
    <w:pPr>
      <w:jc w:val="center"/>
      <w:textAlignment w:val="center"/>
    </w:pPr>
  </w:style>
  <w:style w:type="paragraph" w:customStyle="1" w:styleId="52">
    <w:name w:val="首行缩进"/>
    <w:basedOn w:val="1"/>
    <w:qFormat/>
    <w:uiPriority w:val="0"/>
    <w:pPr>
      <w:ind w:firstLine="480" w:firstLineChars="200"/>
    </w:pPr>
    <w:rPr>
      <w:sz w:val="24"/>
    </w:rPr>
  </w:style>
  <w:style w:type="paragraph" w:customStyle="1" w:styleId="53">
    <w:name w:val="图表文字"/>
    <w:basedOn w:val="1"/>
    <w:qFormat/>
    <w:uiPriority w:val="0"/>
    <w:pPr>
      <w:spacing w:line="300" w:lineRule="exact"/>
      <w:jc w:val="center"/>
    </w:pPr>
    <w:rPr>
      <w:rFonts w:eastAsia="T"/>
      <w:b/>
      <w:bCs/>
      <w:sz w:val="24"/>
      <w:szCs w:val="20"/>
    </w:rPr>
  </w:style>
  <w:style w:type="paragraph" w:customStyle="1" w:styleId="54">
    <w:name w:val="表内字体"/>
    <w:basedOn w:val="1"/>
    <w:qFormat/>
    <w:uiPriority w:val="0"/>
    <w:pPr>
      <w:jc w:val="center"/>
    </w:pPr>
    <w:rPr>
      <w:rFonts w:eastAsia="仿宋_GB2312"/>
      <w:sz w:val="28"/>
      <w:szCs w:val="20"/>
    </w:rPr>
  </w:style>
  <w:style w:type="paragraph" w:customStyle="1" w:styleId="55">
    <w:name w:val="小四宋居中1.0"/>
    <w:basedOn w:val="1"/>
    <w:next w:val="1"/>
    <w:qFormat/>
    <w:uiPriority w:val="0"/>
    <w:pPr>
      <w:spacing w:line="400" w:lineRule="exact"/>
      <w:jc w:val="center"/>
    </w:pPr>
    <w:rPr>
      <w:rFonts w:ascii="宋体" w:hAnsi="宋体"/>
      <w:sz w:val="24"/>
    </w:rPr>
  </w:style>
  <w:style w:type="paragraph" w:customStyle="1" w:styleId="56">
    <w:name w:val="样式16"/>
    <w:basedOn w:val="1"/>
    <w:qFormat/>
    <w:uiPriority w:val="0"/>
    <w:pPr>
      <w:adjustRightInd w:val="0"/>
      <w:snapToGrid w:val="0"/>
      <w:ind w:firstLine="200" w:firstLineChars="200"/>
    </w:pPr>
    <w:rPr>
      <w:szCs w:val="28"/>
    </w:rPr>
  </w:style>
  <w:style w:type="paragraph" w:customStyle="1" w:styleId="57">
    <w:name w:val="表格"/>
    <w:basedOn w:val="37"/>
    <w:next w:val="1"/>
    <w:qFormat/>
    <w:uiPriority w:val="0"/>
    <w:pPr>
      <w:adjustRightInd w:val="0"/>
      <w:snapToGrid w:val="0"/>
      <w:spacing w:beforeLines="10" w:afterLines="10" w:line="259" w:lineRule="auto"/>
    </w:pPr>
    <w:rPr>
      <w:rFonts w:ascii="宋体"/>
      <w:kern w:val="0"/>
    </w:rPr>
  </w:style>
  <w:style w:type="paragraph" w:customStyle="1" w:styleId="58">
    <w:name w:val="1正文--使用此-五号字"/>
    <w:basedOn w:val="1"/>
    <w:qFormat/>
    <w:uiPriority w:val="0"/>
    <w:pPr>
      <w:snapToGrid w:val="0"/>
      <w:ind w:firstLine="720" w:firstLineChars="200"/>
    </w:pPr>
  </w:style>
  <w:style w:type="paragraph" w:customStyle="1" w:styleId="59">
    <w:name w:val="1图表标题-五号字"/>
    <w:basedOn w:val="1"/>
    <w:next w:val="58"/>
    <w:qFormat/>
    <w:uiPriority w:val="0"/>
    <w:pPr>
      <w:snapToGrid w:val="0"/>
      <w:jc w:val="center"/>
    </w:pPr>
    <w:rPr>
      <w:bCs/>
      <w:szCs w:val="20"/>
    </w:rPr>
  </w:style>
  <w:style w:type="paragraph" w:styleId="60">
    <w:name w:val="No Spacing"/>
    <w:qFormat/>
    <w:uiPriority w:val="1"/>
    <w:pPr>
      <w:adjustRightInd w:val="0"/>
      <w:snapToGrid w:val="0"/>
    </w:pPr>
    <w:rPr>
      <w:rFonts w:ascii="Tahoma" w:hAnsi="Tahoma" w:eastAsia="微软雅黑" w:cs="Times New Roman"/>
      <w:sz w:val="22"/>
      <w:szCs w:val="22"/>
      <w:lang w:val="en-US" w:eastAsia="zh-CN" w:bidi="ar-SA"/>
    </w:rPr>
  </w:style>
  <w:style w:type="character" w:customStyle="1" w:styleId="61">
    <w:name w:val="font21"/>
    <w:basedOn w:val="28"/>
    <w:qFormat/>
    <w:uiPriority w:val="0"/>
    <w:rPr>
      <w:rFonts w:hint="eastAsia" w:ascii="宋体" w:hAnsi="宋体" w:eastAsia="宋体" w:cs="宋体"/>
      <w:color w:val="FF0000"/>
      <w:sz w:val="20"/>
      <w:szCs w:val="20"/>
      <w:u w:val="none"/>
    </w:rPr>
  </w:style>
  <w:style w:type="character" w:customStyle="1" w:styleId="62">
    <w:name w:val="font31"/>
    <w:basedOn w:val="28"/>
    <w:qFormat/>
    <w:uiPriority w:val="0"/>
    <w:rPr>
      <w:rFonts w:hint="default" w:ascii="Times New Roman" w:hAnsi="Times New Roman" w:cs="Times New Roman"/>
      <w:color w:val="FF0000"/>
      <w:sz w:val="20"/>
      <w:szCs w:val="20"/>
      <w:u w:val="none"/>
    </w:rPr>
  </w:style>
  <w:style w:type="paragraph" w:customStyle="1" w:styleId="63">
    <w:name w:val="报告正文"/>
    <w:basedOn w:val="1"/>
    <w:qFormat/>
    <w:uiPriority w:val="99"/>
    <w:pPr>
      <w:widowControl/>
      <w:ind w:firstLine="600" w:firstLineChars="200"/>
      <w:jc w:val="left"/>
    </w:pPr>
    <w:rPr>
      <w:rFonts w:ascii="宋体" w:hAnsi="宋体" w:eastAsia="楷体_GB2312" w:cs="宋体"/>
      <w:bCs/>
      <w:kern w:val="0"/>
      <w:sz w:val="30"/>
      <w:szCs w:val="20"/>
    </w:rPr>
  </w:style>
  <w:style w:type="paragraph" w:customStyle="1" w:styleId="64">
    <w:name w:val="表格内容"/>
    <w:basedOn w:val="1"/>
    <w:qFormat/>
    <w:uiPriority w:val="0"/>
    <w:pPr>
      <w:overflowPunct w:val="0"/>
      <w:adjustRightInd w:val="0"/>
      <w:snapToGrid w:val="0"/>
      <w:spacing w:line="240" w:lineRule="atLeast"/>
      <w:jc w:val="center"/>
      <w:textAlignment w:val="baseline"/>
    </w:pPr>
    <w:rPr>
      <w:rFonts w:eastAsia="仿宋_GB2312" w:cs="宋体"/>
      <w:color w:val="000000"/>
      <w:kern w:val="0"/>
      <w:lang w:val="zh-CN"/>
    </w:rPr>
  </w:style>
  <w:style w:type="paragraph" w:customStyle="1" w:styleId="65">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rPr>
  </w:style>
  <w:style w:type="table" w:customStyle="1" w:styleId="66">
    <w:name w:val="网格型!1"/>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7">
    <w:name w:val="Body Text 21"/>
    <w:basedOn w:val="1"/>
    <w:qFormat/>
    <w:uiPriority w:val="0"/>
    <w:pPr>
      <w:adjustRightInd w:val="0"/>
      <w:textAlignment w:val="baseline"/>
    </w:pPr>
    <w:rPr>
      <w:rFonts w:eastAsia="仿宋体"/>
      <w:sz w:val="24"/>
      <w:szCs w:val="20"/>
    </w:rPr>
  </w:style>
  <w:style w:type="paragraph" w:customStyle="1" w:styleId="68">
    <w:name w:val="正文1"/>
    <w:basedOn w:val="1"/>
    <w:qFormat/>
    <w:uiPriority w:val="0"/>
    <w:pPr>
      <w:widowControl/>
      <w:snapToGrid w:val="0"/>
      <w:ind w:firstLine="200" w:firstLineChars="200"/>
      <w:outlineLvl w:val="4"/>
    </w:pPr>
    <w:rPr>
      <w:rFonts w:cs="宋体"/>
      <w:spacing w:val="4"/>
      <w:kern w:val="0"/>
      <w:szCs w:val="24"/>
    </w:rPr>
  </w:style>
  <w:style w:type="character" w:customStyle="1" w:styleId="69">
    <w:name w:val="font71"/>
    <w:qFormat/>
    <w:uiPriority w:val="0"/>
    <w:rPr>
      <w:rFonts w:hint="eastAsia" w:ascii="宋体" w:hAnsi="宋体" w:eastAsia="宋体" w:cs="宋体"/>
      <w:color w:val="000000"/>
      <w:sz w:val="21"/>
      <w:szCs w:val="21"/>
      <w:u w:val="none"/>
    </w:rPr>
  </w:style>
  <w:style w:type="paragraph" w:customStyle="1" w:styleId="70">
    <w:name w:val="样式1"/>
    <w:basedOn w:val="1"/>
    <w:qFormat/>
    <w:uiPriority w:val="0"/>
    <w:pPr>
      <w:ind w:firstLine="200" w:firstLineChars="200"/>
    </w:pPr>
    <w:rPr>
      <w:sz w:val="24"/>
    </w:rPr>
  </w:style>
  <w:style w:type="paragraph" w:customStyle="1" w:styleId="71">
    <w:name w:val="Table Paragraph"/>
    <w:basedOn w:val="1"/>
    <w:qFormat/>
    <w:uiPriority w:val="1"/>
    <w:rPr>
      <w:rFonts w:ascii="宋体" w:hAnsi="宋体" w:cs="宋体"/>
    </w:rPr>
  </w:style>
  <w:style w:type="paragraph" w:customStyle="1" w:styleId="72">
    <w:name w:val="表/图"/>
    <w:basedOn w:val="1"/>
    <w:qFormat/>
    <w:uiPriority w:val="0"/>
    <w:pPr>
      <w:adjustRightInd w:val="0"/>
      <w:snapToGrid w:val="0"/>
      <w:spacing w:line="276" w:lineRule="auto"/>
      <w:jc w:val="center"/>
    </w:pPr>
    <w:rPr>
      <w:rFonts w:eastAsia="仿宋"/>
      <w:sz w:val="24"/>
    </w:rPr>
  </w:style>
  <w:style w:type="paragraph" w:customStyle="1" w:styleId="73">
    <w:name w:val="正文（首行缩进）"/>
    <w:basedOn w:val="1"/>
    <w:qFormat/>
    <w:uiPriority w:val="0"/>
    <w:pPr>
      <w:ind w:firstLine="480"/>
      <w:jc w:val="left"/>
    </w:pPr>
    <w:rPr>
      <w:snapToGrid w:val="0"/>
      <w:kern w:val="0"/>
    </w:rPr>
  </w:style>
  <w:style w:type="paragraph" w:customStyle="1" w:styleId="74">
    <w:name w:val="列表段落1"/>
    <w:autoRedefine/>
    <w:qFormat/>
    <w:uiPriority w:val="0"/>
    <w:pPr>
      <w:widowControl w:val="0"/>
      <w:ind w:left="420"/>
      <w:jc w:val="center"/>
    </w:pPr>
    <w:rPr>
      <w:rFonts w:ascii="Times New Roman" w:hAnsi="Times New Roman" w:eastAsia="宋体" w:cs="Times New Roman"/>
      <w:b/>
      <w:kern w:val="2"/>
      <w:sz w:val="21"/>
      <w:szCs w:val="21"/>
      <w:lang w:val="en-US" w:eastAsia="zh-CN" w:bidi="ar-SA"/>
    </w:rPr>
  </w:style>
  <w:style w:type="character" w:customStyle="1" w:styleId="75">
    <w:name w:val="书籍标题1"/>
    <w:qFormat/>
    <w:uiPriority w:val="33"/>
    <w:rPr>
      <w:rFonts w:eastAsia="宋体"/>
      <w:b/>
      <w:bCs/>
      <w:sz w:val="30"/>
      <w:szCs w:val="30"/>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jpe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7F1C30-0D07-4C19-BC5B-8F3BE85678E4}">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44</Pages>
  <Words>19586</Words>
  <Characters>20537</Characters>
  <Lines>476</Lines>
  <Paragraphs>134</Paragraphs>
  <TotalTime>5</TotalTime>
  <ScaleCrop>false</ScaleCrop>
  <LinksUpToDate>false</LinksUpToDate>
  <CharactersWithSpaces>20545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2025-10-14T02:38:00Z</dcterms:created>
  <dc:creator>〃</dc:creator>
  <cp:lastModifiedBy>FF</cp:lastModifiedBy>
  <cp:lastPrinted>2025-11-11T01:16:00Z</cp:lastPrinted>
  <dcterms:modified xsi:type="dcterms:W3CDTF">2025-11-12T06:09:14Z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07D82655739E40CE892E17B97B97D5F1_13</vt:lpwstr>
  </property>
  <property fmtid="{D5CDD505-2E9C-101B-9397-08002B2CF9AE}" pid="4" name="KSOTemplateDocerSaveRecord">
    <vt:lpwstr>eyJoZGlkIjoiN2MxNzVmMTVlZjllMzJlMjJlMmU3ZDYzZTZkYWIwMGYiLCJ1c2VySWQiOiIzMjQzNDg5NzUifQ==</vt:lpwstr>
  </property>
</Properties>
</file>